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106B7B" w:rsidTr="00106B7B">
        <w:tc>
          <w:tcPr>
            <w:tcW w:w="828" w:type="pct"/>
            <w:hideMark/>
          </w:tcPr>
          <w:p w:rsidR="00106B7B" w:rsidRDefault="00106B7B">
            <w:pPr>
              <w:pStyle w:val="a3"/>
              <w:rPr>
                <w:rFonts w:ascii="Times New Roman" w:hAnsi="Times New Roman" w:cs="Times New Roman"/>
                <w:sz w:val="24"/>
                <w:szCs w:val="24"/>
              </w:rPr>
            </w:pPr>
            <w:r>
              <w:rPr>
                <w:noProof/>
                <w:lang w:eastAsia="ru-RU"/>
              </w:rPr>
              <w:drawing>
                <wp:inline distT="0" distB="0" distL="0" distR="0">
                  <wp:extent cx="593725" cy="30734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106B7B" w:rsidRDefault="00106B7B">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106B7B" w:rsidRDefault="00106B7B">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106B7B" w:rsidRPr="00197809" w:rsidRDefault="00106B7B" w:rsidP="00197809">
      <w:pPr>
        <w:pStyle w:val="a3"/>
        <w:jc w:val="center"/>
        <w:rPr>
          <w:rFonts w:ascii="Times New Roman" w:hAnsi="Times New Roman" w:cs="Times New Roman"/>
          <w:sz w:val="24"/>
        </w:rPr>
      </w:pPr>
    </w:p>
    <w:p w:rsidR="00197809" w:rsidRPr="00197809" w:rsidRDefault="00197809" w:rsidP="00197809">
      <w:pPr>
        <w:pStyle w:val="a3"/>
        <w:jc w:val="center"/>
        <w:rPr>
          <w:rFonts w:ascii="Times New Roman" w:hAnsi="Times New Roman" w:cs="Times New Roman"/>
          <w:b/>
          <w:sz w:val="28"/>
        </w:rPr>
      </w:pPr>
      <w:r w:rsidRPr="00197809">
        <w:rPr>
          <w:rFonts w:ascii="Times New Roman" w:hAnsi="Times New Roman" w:cs="Times New Roman"/>
          <w:b/>
          <w:sz w:val="28"/>
        </w:rPr>
        <w:t>Экономика сельского хозяйства</w:t>
      </w:r>
    </w:p>
    <w:p w:rsidR="00197809" w:rsidRDefault="00197809" w:rsidP="00197809">
      <w:pPr>
        <w:pStyle w:val="a3"/>
        <w:jc w:val="center"/>
        <w:rPr>
          <w:rFonts w:ascii="Times New Roman" w:hAnsi="Times New Roman" w:cs="Times New Roman"/>
          <w:b/>
          <w:sz w:val="28"/>
        </w:rPr>
      </w:pPr>
      <w:r w:rsidRPr="00197809">
        <w:rPr>
          <w:rFonts w:ascii="Times New Roman" w:hAnsi="Times New Roman" w:cs="Times New Roman"/>
          <w:b/>
          <w:sz w:val="28"/>
        </w:rPr>
        <w:t>Управление сельским хозяйством</w:t>
      </w:r>
    </w:p>
    <w:p w:rsidR="00B800F0" w:rsidRPr="00B800F0" w:rsidRDefault="00B800F0" w:rsidP="000465E1">
      <w:pPr>
        <w:pStyle w:val="a3"/>
        <w:ind w:firstLine="709"/>
        <w:jc w:val="both"/>
        <w:rPr>
          <w:rFonts w:ascii="Times New Roman" w:hAnsi="Times New Roman" w:cs="Times New Roman"/>
          <w:sz w:val="28"/>
        </w:rPr>
      </w:pPr>
      <w:proofErr w:type="spellStart"/>
      <w:r w:rsidRPr="00B800F0">
        <w:rPr>
          <w:rFonts w:ascii="Times New Roman" w:hAnsi="Times New Roman" w:cs="Times New Roman"/>
          <w:sz w:val="28"/>
        </w:rPr>
        <w:t>Верижников</w:t>
      </w:r>
      <w:proofErr w:type="spellEnd"/>
      <w:r w:rsidRPr="00B800F0">
        <w:rPr>
          <w:rFonts w:ascii="Times New Roman" w:hAnsi="Times New Roman" w:cs="Times New Roman"/>
          <w:sz w:val="28"/>
        </w:rPr>
        <w:t xml:space="preserve">, И. В. Гранты как реализация организующей роли государства в развитии </w:t>
      </w:r>
      <w:proofErr w:type="spellStart"/>
      <w:r w:rsidRPr="00B800F0">
        <w:rPr>
          <w:rFonts w:ascii="Times New Roman" w:hAnsi="Times New Roman" w:cs="Times New Roman"/>
          <w:sz w:val="28"/>
        </w:rPr>
        <w:t>сельхозкооперации</w:t>
      </w:r>
      <w:proofErr w:type="spellEnd"/>
      <w:r w:rsidRPr="00B800F0">
        <w:rPr>
          <w:rFonts w:ascii="Times New Roman" w:hAnsi="Times New Roman" w:cs="Times New Roman"/>
          <w:sz w:val="28"/>
        </w:rPr>
        <w:t xml:space="preserve"> / беседовал Р. А. Багров // Картофель и овощи. </w:t>
      </w:r>
      <w:r>
        <w:rPr>
          <w:rFonts w:ascii="Times New Roman" w:hAnsi="Times New Roman" w:cs="Times New Roman"/>
          <w:sz w:val="28"/>
        </w:rPr>
        <w:t>–</w:t>
      </w:r>
      <w:r w:rsidRPr="00B800F0">
        <w:rPr>
          <w:rFonts w:ascii="Times New Roman" w:hAnsi="Times New Roman" w:cs="Times New Roman"/>
          <w:sz w:val="28"/>
        </w:rPr>
        <w:t xml:space="preserve"> 2018.</w:t>
      </w:r>
      <w:r>
        <w:rPr>
          <w:rFonts w:ascii="Times New Roman" w:hAnsi="Times New Roman" w:cs="Times New Roman"/>
          <w:sz w:val="28"/>
        </w:rPr>
        <w:t xml:space="preserve"> –</w:t>
      </w:r>
      <w:r w:rsidRPr="00B800F0">
        <w:rPr>
          <w:rFonts w:ascii="Times New Roman" w:hAnsi="Times New Roman" w:cs="Times New Roman"/>
          <w:sz w:val="28"/>
        </w:rPr>
        <w:t xml:space="preserve"> </w:t>
      </w:r>
      <w:r>
        <w:rPr>
          <w:rFonts w:ascii="Times New Roman" w:hAnsi="Times New Roman" w:cs="Times New Roman"/>
          <w:sz w:val="28"/>
        </w:rPr>
        <w:t>№</w:t>
      </w:r>
      <w:r w:rsidRPr="00B800F0">
        <w:rPr>
          <w:rFonts w:ascii="Times New Roman" w:hAnsi="Times New Roman" w:cs="Times New Roman"/>
          <w:sz w:val="28"/>
        </w:rPr>
        <w:t xml:space="preserve"> 7. </w:t>
      </w:r>
      <w:r>
        <w:rPr>
          <w:rFonts w:ascii="Times New Roman" w:hAnsi="Times New Roman" w:cs="Times New Roman"/>
          <w:sz w:val="28"/>
        </w:rPr>
        <w:t>–</w:t>
      </w:r>
      <w:r w:rsidRPr="00B800F0">
        <w:rPr>
          <w:rFonts w:ascii="Times New Roman" w:hAnsi="Times New Roman" w:cs="Times New Roman"/>
          <w:sz w:val="28"/>
        </w:rPr>
        <w:t xml:space="preserve"> С. 10</w:t>
      </w:r>
      <w:r>
        <w:rPr>
          <w:rFonts w:ascii="Times New Roman" w:hAnsi="Times New Roman" w:cs="Times New Roman"/>
          <w:sz w:val="28"/>
        </w:rPr>
        <w:t>–</w:t>
      </w:r>
      <w:r w:rsidRPr="00B800F0">
        <w:rPr>
          <w:rFonts w:ascii="Times New Roman" w:hAnsi="Times New Roman" w:cs="Times New Roman"/>
          <w:sz w:val="28"/>
        </w:rPr>
        <w:t>11</w:t>
      </w:r>
      <w:proofErr w:type="gramStart"/>
      <w:r w:rsidRPr="00B800F0">
        <w:rPr>
          <w:rFonts w:ascii="Times New Roman" w:hAnsi="Times New Roman" w:cs="Times New Roman"/>
          <w:sz w:val="28"/>
        </w:rPr>
        <w:t xml:space="preserve"> :</w:t>
      </w:r>
      <w:proofErr w:type="gramEnd"/>
      <w:r w:rsidRPr="00B800F0">
        <w:rPr>
          <w:rFonts w:ascii="Times New Roman" w:hAnsi="Times New Roman" w:cs="Times New Roman"/>
          <w:sz w:val="28"/>
        </w:rPr>
        <w:t xml:space="preserve"> 3 фот. </w:t>
      </w:r>
    </w:p>
    <w:p w:rsidR="00B800F0" w:rsidRDefault="00B800F0" w:rsidP="000465E1">
      <w:pPr>
        <w:pStyle w:val="a3"/>
        <w:ind w:firstLine="709"/>
        <w:jc w:val="both"/>
        <w:rPr>
          <w:lang w:eastAsia="ru-RU"/>
        </w:rPr>
      </w:pPr>
      <w:r w:rsidRPr="00B800F0">
        <w:rPr>
          <w:rFonts w:ascii="Times New Roman" w:hAnsi="Times New Roman" w:cs="Times New Roman"/>
          <w:sz w:val="24"/>
        </w:rPr>
        <w:t xml:space="preserve">Интервью с директором кооператива, кандидатом экономических наук Игорем Владимировичем </w:t>
      </w:r>
      <w:proofErr w:type="spellStart"/>
      <w:r w:rsidRPr="00B800F0">
        <w:rPr>
          <w:rFonts w:ascii="Times New Roman" w:hAnsi="Times New Roman" w:cs="Times New Roman"/>
          <w:sz w:val="24"/>
        </w:rPr>
        <w:t>Верижниковым</w:t>
      </w:r>
      <w:proofErr w:type="spellEnd"/>
      <w:r w:rsidRPr="000D1F17">
        <w:rPr>
          <w:lang w:eastAsia="ru-RU"/>
        </w:rPr>
        <w:t>.</w:t>
      </w:r>
    </w:p>
    <w:p w:rsidR="00B800F0" w:rsidRPr="00B800F0" w:rsidRDefault="00B800F0" w:rsidP="00B800F0">
      <w:pPr>
        <w:pStyle w:val="a3"/>
        <w:jc w:val="both"/>
        <w:rPr>
          <w:rFonts w:ascii="Times New Roman" w:hAnsi="Times New Roman" w:cs="Times New Roman"/>
          <w:sz w:val="24"/>
          <w:lang w:eastAsia="ru-RU"/>
        </w:rPr>
      </w:pPr>
    </w:p>
    <w:p w:rsidR="00775907" w:rsidRPr="00775907" w:rsidRDefault="00775907" w:rsidP="00775907">
      <w:pPr>
        <w:pStyle w:val="a3"/>
        <w:ind w:firstLine="709"/>
        <w:jc w:val="both"/>
        <w:rPr>
          <w:rFonts w:ascii="Times New Roman" w:hAnsi="Times New Roman" w:cs="Times New Roman"/>
          <w:sz w:val="28"/>
        </w:rPr>
      </w:pPr>
      <w:proofErr w:type="gramStart"/>
      <w:r w:rsidRPr="00775907">
        <w:rPr>
          <w:rFonts w:ascii="Times New Roman" w:hAnsi="Times New Roman" w:cs="Times New Roman"/>
          <w:sz w:val="28"/>
        </w:rPr>
        <w:t>Голубев</w:t>
      </w:r>
      <w:proofErr w:type="gramEnd"/>
      <w:r w:rsidRPr="00775907">
        <w:rPr>
          <w:rFonts w:ascii="Times New Roman" w:hAnsi="Times New Roman" w:cs="Times New Roman"/>
          <w:sz w:val="28"/>
        </w:rPr>
        <w:t xml:space="preserve">, А. В. Вызовы и перспективы развития агропродовольственного комплекса России / А. В. Голубев, А. А. Голубева, Н. А. </w:t>
      </w:r>
      <w:proofErr w:type="spellStart"/>
      <w:r w:rsidRPr="00775907">
        <w:rPr>
          <w:rFonts w:ascii="Times New Roman" w:hAnsi="Times New Roman" w:cs="Times New Roman"/>
          <w:sz w:val="28"/>
        </w:rPr>
        <w:t>Смоленинова</w:t>
      </w:r>
      <w:proofErr w:type="spellEnd"/>
      <w:r w:rsidRPr="00775907">
        <w:rPr>
          <w:rFonts w:ascii="Times New Roman" w:hAnsi="Times New Roman" w:cs="Times New Roman"/>
          <w:sz w:val="28"/>
        </w:rPr>
        <w:t xml:space="preserve"> // Экономика с</w:t>
      </w:r>
      <w:r>
        <w:rPr>
          <w:rFonts w:ascii="Times New Roman" w:hAnsi="Times New Roman" w:cs="Times New Roman"/>
          <w:sz w:val="28"/>
        </w:rPr>
        <w:t>.-</w:t>
      </w:r>
      <w:r w:rsidRPr="00775907">
        <w:rPr>
          <w:rFonts w:ascii="Times New Roman" w:hAnsi="Times New Roman" w:cs="Times New Roman"/>
          <w:sz w:val="28"/>
        </w:rPr>
        <w:t>х</w:t>
      </w:r>
      <w:r>
        <w:rPr>
          <w:rFonts w:ascii="Times New Roman" w:hAnsi="Times New Roman" w:cs="Times New Roman"/>
          <w:sz w:val="28"/>
        </w:rPr>
        <w:t>.</w:t>
      </w:r>
      <w:r w:rsidRPr="00775907">
        <w:rPr>
          <w:rFonts w:ascii="Times New Roman" w:hAnsi="Times New Roman" w:cs="Times New Roman"/>
          <w:sz w:val="28"/>
        </w:rPr>
        <w:t xml:space="preserve"> и </w:t>
      </w:r>
      <w:proofErr w:type="spellStart"/>
      <w:r w:rsidRPr="00775907">
        <w:rPr>
          <w:rFonts w:ascii="Times New Roman" w:hAnsi="Times New Roman" w:cs="Times New Roman"/>
          <w:sz w:val="28"/>
        </w:rPr>
        <w:t>перерабат</w:t>
      </w:r>
      <w:proofErr w:type="spellEnd"/>
      <w:r>
        <w:rPr>
          <w:rFonts w:ascii="Times New Roman" w:hAnsi="Times New Roman" w:cs="Times New Roman"/>
          <w:sz w:val="28"/>
        </w:rPr>
        <w:t>.</w:t>
      </w:r>
      <w:r w:rsidRPr="00775907">
        <w:rPr>
          <w:rFonts w:ascii="Times New Roman" w:hAnsi="Times New Roman" w:cs="Times New Roman"/>
          <w:sz w:val="28"/>
        </w:rPr>
        <w:t xml:space="preserve"> предприятий. </w:t>
      </w:r>
      <w:r>
        <w:rPr>
          <w:rFonts w:ascii="Times New Roman" w:hAnsi="Times New Roman" w:cs="Times New Roman"/>
          <w:sz w:val="28"/>
        </w:rPr>
        <w:t>– 2018. – №</w:t>
      </w:r>
      <w:r w:rsidRPr="00775907">
        <w:rPr>
          <w:rFonts w:ascii="Times New Roman" w:hAnsi="Times New Roman" w:cs="Times New Roman"/>
          <w:sz w:val="28"/>
        </w:rPr>
        <w:t xml:space="preserve"> 8</w:t>
      </w:r>
      <w:r>
        <w:rPr>
          <w:rFonts w:ascii="Times New Roman" w:hAnsi="Times New Roman" w:cs="Times New Roman"/>
          <w:sz w:val="28"/>
        </w:rPr>
        <w:t>. –</w:t>
      </w:r>
      <w:r w:rsidRPr="00775907">
        <w:rPr>
          <w:rFonts w:ascii="Times New Roman" w:hAnsi="Times New Roman" w:cs="Times New Roman"/>
          <w:sz w:val="28"/>
        </w:rPr>
        <w:t xml:space="preserve"> С. 12</w:t>
      </w:r>
      <w:r>
        <w:rPr>
          <w:rFonts w:ascii="Times New Roman" w:hAnsi="Times New Roman" w:cs="Times New Roman"/>
          <w:sz w:val="28"/>
        </w:rPr>
        <w:t>–</w:t>
      </w:r>
      <w:r w:rsidRPr="00775907">
        <w:rPr>
          <w:rFonts w:ascii="Times New Roman" w:hAnsi="Times New Roman" w:cs="Times New Roman"/>
          <w:sz w:val="28"/>
        </w:rPr>
        <w:t xml:space="preserve">15. </w:t>
      </w:r>
    </w:p>
    <w:p w:rsidR="00775907" w:rsidRPr="00775907" w:rsidRDefault="00775907" w:rsidP="00775907">
      <w:pPr>
        <w:pStyle w:val="a3"/>
        <w:ind w:firstLine="709"/>
        <w:jc w:val="both"/>
        <w:rPr>
          <w:rFonts w:ascii="Times New Roman" w:hAnsi="Times New Roman" w:cs="Times New Roman"/>
          <w:sz w:val="24"/>
        </w:rPr>
      </w:pPr>
      <w:r w:rsidRPr="00775907">
        <w:rPr>
          <w:rFonts w:ascii="Times New Roman" w:hAnsi="Times New Roman" w:cs="Times New Roman"/>
          <w:sz w:val="24"/>
        </w:rPr>
        <w:t>В статье рассмотрены вызовы, стоящие перед агропродовольственным комплексом России, и возможности развития. Показано, что одни и те же экономические явления могут быть использованы с совершенно различным эффектом. Приводятся меры, способные противостоять негативному воздействию экономических вызовов.</w:t>
      </w:r>
    </w:p>
    <w:p w:rsidR="00197809" w:rsidRPr="00D74B6D" w:rsidRDefault="00197809" w:rsidP="00197809">
      <w:pPr>
        <w:pStyle w:val="a3"/>
        <w:jc w:val="center"/>
        <w:rPr>
          <w:rFonts w:ascii="Times New Roman" w:hAnsi="Times New Roman" w:cs="Times New Roman"/>
          <w:sz w:val="24"/>
        </w:rPr>
      </w:pPr>
    </w:p>
    <w:p w:rsidR="008A6AF2" w:rsidRPr="008A6AF2" w:rsidRDefault="008A6AF2" w:rsidP="008A6AF2">
      <w:pPr>
        <w:pStyle w:val="a3"/>
        <w:ind w:firstLine="709"/>
        <w:jc w:val="both"/>
        <w:rPr>
          <w:rFonts w:ascii="Times New Roman" w:hAnsi="Times New Roman" w:cs="Times New Roman"/>
          <w:sz w:val="28"/>
        </w:rPr>
      </w:pPr>
      <w:proofErr w:type="spellStart"/>
      <w:r w:rsidRPr="008A6AF2">
        <w:rPr>
          <w:rFonts w:ascii="Times New Roman" w:hAnsi="Times New Roman" w:cs="Times New Roman"/>
          <w:sz w:val="28"/>
        </w:rPr>
        <w:t>Импортозамещение</w:t>
      </w:r>
      <w:proofErr w:type="spellEnd"/>
      <w:r w:rsidRPr="008A6AF2">
        <w:rPr>
          <w:rFonts w:ascii="Times New Roman" w:hAnsi="Times New Roman" w:cs="Times New Roman"/>
          <w:sz w:val="28"/>
        </w:rPr>
        <w:t xml:space="preserve"> - проблемы и пути реализации / А. В. </w:t>
      </w:r>
      <w:proofErr w:type="spellStart"/>
      <w:r w:rsidRPr="008A6AF2">
        <w:rPr>
          <w:rFonts w:ascii="Times New Roman" w:hAnsi="Times New Roman" w:cs="Times New Roman"/>
          <w:sz w:val="28"/>
        </w:rPr>
        <w:t>Михилев</w:t>
      </w:r>
      <w:proofErr w:type="spellEnd"/>
      <w:r w:rsidRPr="008A6AF2">
        <w:rPr>
          <w:rFonts w:ascii="Times New Roman" w:hAnsi="Times New Roman" w:cs="Times New Roman"/>
          <w:sz w:val="28"/>
        </w:rPr>
        <w:t xml:space="preserve"> [</w:t>
      </w:r>
      <w:r>
        <w:rPr>
          <w:rFonts w:ascii="Times New Roman" w:hAnsi="Times New Roman" w:cs="Times New Roman"/>
          <w:sz w:val="28"/>
        </w:rPr>
        <w:t>и др.</w:t>
      </w:r>
      <w:r w:rsidRPr="008A6AF2">
        <w:rPr>
          <w:rFonts w:ascii="Times New Roman" w:hAnsi="Times New Roman" w:cs="Times New Roman"/>
          <w:sz w:val="28"/>
        </w:rPr>
        <w:t xml:space="preserve">] // </w:t>
      </w:r>
      <w:proofErr w:type="spellStart"/>
      <w:r w:rsidRPr="008A6AF2">
        <w:rPr>
          <w:rFonts w:ascii="Times New Roman" w:hAnsi="Times New Roman" w:cs="Times New Roman"/>
          <w:sz w:val="28"/>
        </w:rPr>
        <w:t>Вестн</w:t>
      </w:r>
      <w:proofErr w:type="spellEnd"/>
      <w:r w:rsidRPr="008A6AF2">
        <w:rPr>
          <w:rFonts w:ascii="Times New Roman" w:hAnsi="Times New Roman" w:cs="Times New Roman"/>
          <w:sz w:val="28"/>
        </w:rPr>
        <w:t>. Курской гос. с.-х. акад. – 2018. – № 5. – С. 163–165.</w:t>
      </w:r>
    </w:p>
    <w:p w:rsidR="008A6AF2" w:rsidRPr="008A6AF2" w:rsidRDefault="008A6AF2" w:rsidP="00197809">
      <w:pPr>
        <w:pStyle w:val="a3"/>
        <w:jc w:val="center"/>
        <w:rPr>
          <w:rFonts w:ascii="Times New Roman" w:hAnsi="Times New Roman" w:cs="Times New Roman"/>
          <w:sz w:val="24"/>
        </w:rPr>
      </w:pPr>
    </w:p>
    <w:p w:rsidR="000465E1" w:rsidRPr="000465E1" w:rsidRDefault="000465E1" w:rsidP="000465E1">
      <w:pPr>
        <w:pStyle w:val="a3"/>
        <w:ind w:firstLine="709"/>
        <w:jc w:val="both"/>
        <w:rPr>
          <w:rFonts w:ascii="Times New Roman" w:hAnsi="Times New Roman" w:cs="Times New Roman"/>
          <w:sz w:val="28"/>
        </w:rPr>
      </w:pPr>
      <w:r w:rsidRPr="000465E1">
        <w:rPr>
          <w:rFonts w:ascii="Times New Roman" w:hAnsi="Times New Roman" w:cs="Times New Roman"/>
          <w:sz w:val="28"/>
        </w:rPr>
        <w:t>Козлов, В. В. Инновационное развитие сельского хозяйства: ретроспективный анализ институциональной среды и уроки для России / В. В. Козлов // Экономика с</w:t>
      </w:r>
      <w:r>
        <w:rPr>
          <w:rFonts w:ascii="Times New Roman" w:hAnsi="Times New Roman" w:cs="Times New Roman"/>
          <w:sz w:val="28"/>
        </w:rPr>
        <w:t>.-</w:t>
      </w:r>
      <w:r w:rsidRPr="000465E1">
        <w:rPr>
          <w:rFonts w:ascii="Times New Roman" w:hAnsi="Times New Roman" w:cs="Times New Roman"/>
          <w:sz w:val="28"/>
        </w:rPr>
        <w:t>х</w:t>
      </w:r>
      <w:r>
        <w:rPr>
          <w:rFonts w:ascii="Times New Roman" w:hAnsi="Times New Roman" w:cs="Times New Roman"/>
          <w:sz w:val="28"/>
        </w:rPr>
        <w:t>.</w:t>
      </w:r>
      <w:r w:rsidRPr="000465E1">
        <w:rPr>
          <w:rFonts w:ascii="Times New Roman" w:hAnsi="Times New Roman" w:cs="Times New Roman"/>
          <w:sz w:val="28"/>
        </w:rPr>
        <w:t xml:space="preserve"> и </w:t>
      </w:r>
      <w:proofErr w:type="spellStart"/>
      <w:r w:rsidRPr="000465E1">
        <w:rPr>
          <w:rFonts w:ascii="Times New Roman" w:hAnsi="Times New Roman" w:cs="Times New Roman"/>
          <w:sz w:val="28"/>
        </w:rPr>
        <w:t>перерабат</w:t>
      </w:r>
      <w:proofErr w:type="spellEnd"/>
      <w:r>
        <w:rPr>
          <w:rFonts w:ascii="Times New Roman" w:hAnsi="Times New Roman" w:cs="Times New Roman"/>
          <w:sz w:val="28"/>
        </w:rPr>
        <w:t>.</w:t>
      </w:r>
      <w:r w:rsidRPr="000465E1">
        <w:rPr>
          <w:rFonts w:ascii="Times New Roman" w:hAnsi="Times New Roman" w:cs="Times New Roman"/>
          <w:sz w:val="28"/>
        </w:rPr>
        <w:t xml:space="preserve"> предприятий. </w:t>
      </w:r>
      <w:r>
        <w:rPr>
          <w:rFonts w:ascii="Times New Roman" w:hAnsi="Times New Roman" w:cs="Times New Roman"/>
          <w:sz w:val="28"/>
        </w:rPr>
        <w:t>–</w:t>
      </w:r>
      <w:r w:rsidRPr="000465E1">
        <w:rPr>
          <w:rFonts w:ascii="Times New Roman" w:hAnsi="Times New Roman" w:cs="Times New Roman"/>
          <w:sz w:val="28"/>
        </w:rPr>
        <w:t xml:space="preserve"> 2018.</w:t>
      </w:r>
      <w:r>
        <w:rPr>
          <w:rFonts w:ascii="Times New Roman" w:hAnsi="Times New Roman" w:cs="Times New Roman"/>
          <w:sz w:val="28"/>
        </w:rPr>
        <w:t xml:space="preserve"> – №</w:t>
      </w:r>
      <w:r w:rsidRPr="000465E1">
        <w:rPr>
          <w:rFonts w:ascii="Times New Roman" w:hAnsi="Times New Roman" w:cs="Times New Roman"/>
          <w:sz w:val="28"/>
        </w:rPr>
        <w:t xml:space="preserve"> 5. </w:t>
      </w:r>
      <w:r>
        <w:rPr>
          <w:rFonts w:ascii="Times New Roman" w:hAnsi="Times New Roman" w:cs="Times New Roman"/>
          <w:sz w:val="28"/>
        </w:rPr>
        <w:t>–</w:t>
      </w:r>
      <w:r w:rsidRPr="000465E1">
        <w:rPr>
          <w:rFonts w:ascii="Times New Roman" w:hAnsi="Times New Roman" w:cs="Times New Roman"/>
          <w:sz w:val="28"/>
        </w:rPr>
        <w:t xml:space="preserve"> С. 29</w:t>
      </w:r>
      <w:r>
        <w:rPr>
          <w:rFonts w:ascii="Times New Roman" w:hAnsi="Times New Roman" w:cs="Times New Roman"/>
          <w:sz w:val="28"/>
        </w:rPr>
        <w:t>–</w:t>
      </w:r>
      <w:r w:rsidRPr="000465E1">
        <w:rPr>
          <w:rFonts w:ascii="Times New Roman" w:hAnsi="Times New Roman" w:cs="Times New Roman"/>
          <w:sz w:val="28"/>
        </w:rPr>
        <w:t xml:space="preserve">32. </w:t>
      </w:r>
    </w:p>
    <w:p w:rsidR="000465E1" w:rsidRPr="000465E1" w:rsidRDefault="000465E1" w:rsidP="000465E1">
      <w:pPr>
        <w:pStyle w:val="a3"/>
        <w:ind w:firstLine="709"/>
        <w:jc w:val="both"/>
        <w:rPr>
          <w:rFonts w:ascii="Times New Roman" w:hAnsi="Times New Roman" w:cs="Times New Roman"/>
          <w:sz w:val="24"/>
        </w:rPr>
      </w:pPr>
      <w:r w:rsidRPr="000465E1">
        <w:rPr>
          <w:rFonts w:ascii="Times New Roman" w:hAnsi="Times New Roman" w:cs="Times New Roman"/>
          <w:sz w:val="24"/>
        </w:rPr>
        <w:t xml:space="preserve">В статье приведены результаты ретроспективного и сравнительного анализа </w:t>
      </w:r>
      <w:proofErr w:type="gramStart"/>
      <w:r w:rsidRPr="000465E1">
        <w:rPr>
          <w:rFonts w:ascii="Times New Roman" w:hAnsi="Times New Roman" w:cs="Times New Roman"/>
          <w:sz w:val="24"/>
        </w:rPr>
        <w:t>изменений институциональной среды развития сельского хозяйства России</w:t>
      </w:r>
      <w:proofErr w:type="gramEnd"/>
      <w:r w:rsidRPr="000465E1">
        <w:rPr>
          <w:rFonts w:ascii="Times New Roman" w:hAnsi="Times New Roman" w:cs="Times New Roman"/>
          <w:sz w:val="24"/>
        </w:rPr>
        <w:t xml:space="preserve"> и США. При этом раскрыта сущность и значимость своевременного и полного нормативно-правового обеспечения инновационного развития сельского хозяйства. Показана значимость регулирования </w:t>
      </w:r>
      <w:proofErr w:type="spellStart"/>
      <w:r w:rsidRPr="000465E1">
        <w:rPr>
          <w:rFonts w:ascii="Times New Roman" w:hAnsi="Times New Roman" w:cs="Times New Roman"/>
          <w:sz w:val="24"/>
        </w:rPr>
        <w:t>экстеншн</w:t>
      </w:r>
      <w:proofErr w:type="spellEnd"/>
      <w:r w:rsidRPr="000465E1">
        <w:rPr>
          <w:rFonts w:ascii="Times New Roman" w:hAnsi="Times New Roman" w:cs="Times New Roman"/>
          <w:sz w:val="24"/>
        </w:rPr>
        <w:t>-деятельности консультантов по сельскому хозяйству. Даны соответствующие предложения по восполнению образовавшегося пробела в нормативно-правовом обеспечении инновационной деятельности в сельском хозяйстве России.</w:t>
      </w:r>
    </w:p>
    <w:p w:rsidR="00205A05" w:rsidRPr="004E4E82" w:rsidRDefault="00205A05" w:rsidP="00205A05">
      <w:pPr>
        <w:pStyle w:val="a3"/>
        <w:ind w:firstLine="709"/>
        <w:jc w:val="both"/>
        <w:rPr>
          <w:rFonts w:ascii="Times New Roman" w:hAnsi="Times New Roman" w:cs="Times New Roman"/>
          <w:sz w:val="24"/>
        </w:rPr>
      </w:pPr>
    </w:p>
    <w:p w:rsidR="008F2545" w:rsidRPr="00205A05" w:rsidRDefault="008F2545" w:rsidP="008F2545">
      <w:pPr>
        <w:pStyle w:val="a3"/>
        <w:ind w:firstLine="724"/>
        <w:jc w:val="both"/>
        <w:rPr>
          <w:rFonts w:ascii="Times New Roman" w:hAnsi="Times New Roman" w:cs="Times New Roman"/>
          <w:sz w:val="28"/>
        </w:rPr>
      </w:pPr>
      <w:proofErr w:type="spellStart"/>
      <w:r w:rsidRPr="00205A05">
        <w:rPr>
          <w:rFonts w:ascii="Times New Roman" w:hAnsi="Times New Roman" w:cs="Times New Roman"/>
          <w:sz w:val="28"/>
        </w:rPr>
        <w:t>Курносова</w:t>
      </w:r>
      <w:proofErr w:type="spellEnd"/>
      <w:r w:rsidRPr="00205A05">
        <w:rPr>
          <w:rFonts w:ascii="Times New Roman" w:hAnsi="Times New Roman" w:cs="Times New Roman"/>
          <w:sz w:val="28"/>
        </w:rPr>
        <w:t xml:space="preserve">, Н. С. Разработка стратегии информатизации сельского хозяйства / </w:t>
      </w:r>
      <w:proofErr w:type="spellStart"/>
      <w:r w:rsidRPr="00205A05">
        <w:rPr>
          <w:rFonts w:ascii="Times New Roman" w:hAnsi="Times New Roman" w:cs="Times New Roman"/>
          <w:sz w:val="28"/>
        </w:rPr>
        <w:t>Курносова</w:t>
      </w:r>
      <w:proofErr w:type="spellEnd"/>
      <w:r w:rsidRPr="00205A05">
        <w:rPr>
          <w:rFonts w:ascii="Times New Roman" w:hAnsi="Times New Roman" w:cs="Times New Roman"/>
          <w:sz w:val="28"/>
        </w:rPr>
        <w:t xml:space="preserve"> Н.С. // </w:t>
      </w:r>
      <w:proofErr w:type="spellStart"/>
      <w:r w:rsidRPr="00205A05">
        <w:rPr>
          <w:rFonts w:ascii="Times New Roman" w:hAnsi="Times New Roman" w:cs="Times New Roman"/>
          <w:sz w:val="28"/>
        </w:rPr>
        <w:t>Вестн</w:t>
      </w:r>
      <w:proofErr w:type="spellEnd"/>
      <w:r w:rsidRPr="00205A05">
        <w:rPr>
          <w:rFonts w:ascii="Times New Roman" w:hAnsi="Times New Roman" w:cs="Times New Roman"/>
          <w:sz w:val="28"/>
        </w:rPr>
        <w:t xml:space="preserve">. Воронежского гос. </w:t>
      </w:r>
      <w:proofErr w:type="spellStart"/>
      <w:r w:rsidRPr="00205A05">
        <w:rPr>
          <w:rFonts w:ascii="Times New Roman" w:hAnsi="Times New Roman" w:cs="Times New Roman"/>
          <w:sz w:val="28"/>
        </w:rPr>
        <w:t>аграр</w:t>
      </w:r>
      <w:proofErr w:type="spellEnd"/>
      <w:r w:rsidRPr="00205A05">
        <w:rPr>
          <w:rFonts w:ascii="Times New Roman" w:hAnsi="Times New Roman" w:cs="Times New Roman"/>
          <w:sz w:val="28"/>
        </w:rPr>
        <w:t>. ун-та. – 2018. – № 2. – С. 166–173.</w:t>
      </w:r>
    </w:p>
    <w:p w:rsidR="008F2545" w:rsidRDefault="008F2545" w:rsidP="008F2545">
      <w:pPr>
        <w:pStyle w:val="a3"/>
        <w:ind w:firstLine="724"/>
        <w:jc w:val="both"/>
        <w:rPr>
          <w:rFonts w:ascii="Times New Roman" w:hAnsi="Times New Roman" w:cs="Times New Roman"/>
          <w:sz w:val="24"/>
        </w:rPr>
      </w:pPr>
      <w:r w:rsidRPr="008F2545">
        <w:rPr>
          <w:rFonts w:ascii="Times New Roman" w:hAnsi="Times New Roman" w:cs="Times New Roman"/>
          <w:sz w:val="24"/>
        </w:rPr>
        <w:t xml:space="preserve">Раскрывается содержание стратегии развития системы информационного обеспечения (ИО) управления аграрным производством; делается вывод, что необходима разработка стратегии информатизации сельского хозяйства, определяющей идеологию развития систем ИО государственного и хозяйственного управления отраслью; </w:t>
      </w:r>
      <w:proofErr w:type="gramStart"/>
      <w:r w:rsidRPr="008F2545">
        <w:rPr>
          <w:rFonts w:ascii="Times New Roman" w:hAnsi="Times New Roman" w:cs="Times New Roman"/>
          <w:sz w:val="24"/>
        </w:rPr>
        <w:t xml:space="preserve">утверждается, что существующая практика самостоятельного проектирования и разработки информационно-аналитических систем управления аграрным производством на уровне регионов породила ряд проблем, связанных с отсутствием комплексного подхода к формированию региональных систем ИО управления, с нерациональностью структуры информационного фонда, с неоднородностью функциональных задач, реализуемых информационно-аналитическими системами, с невозможностью использования опыта других регионов в сфере информатизации государственного </w:t>
      </w:r>
      <w:r w:rsidRPr="008F2545">
        <w:rPr>
          <w:rFonts w:ascii="Times New Roman" w:hAnsi="Times New Roman" w:cs="Times New Roman"/>
          <w:sz w:val="24"/>
        </w:rPr>
        <w:lastRenderedPageBreak/>
        <w:t>управления;</w:t>
      </w:r>
      <w:proofErr w:type="gramEnd"/>
      <w:r w:rsidRPr="008F2545">
        <w:rPr>
          <w:rFonts w:ascii="Times New Roman" w:hAnsi="Times New Roman" w:cs="Times New Roman"/>
          <w:sz w:val="24"/>
        </w:rPr>
        <w:t xml:space="preserve"> указывается, что основная часть сельхозпроизводителей, относящихся к субъектам среднего и малого агробизнеса, не рассматривает информатизацию в качестве приоритетного направления модернизации технико-технологической базы и организационно-</w:t>
      </w:r>
      <w:proofErr w:type="gramStart"/>
      <w:r w:rsidRPr="008F2545">
        <w:rPr>
          <w:rFonts w:ascii="Times New Roman" w:hAnsi="Times New Roman" w:cs="Times New Roman"/>
          <w:sz w:val="24"/>
        </w:rPr>
        <w:t>экономического механизма</w:t>
      </w:r>
      <w:proofErr w:type="gramEnd"/>
      <w:r w:rsidRPr="008F2545">
        <w:rPr>
          <w:rFonts w:ascii="Times New Roman" w:hAnsi="Times New Roman" w:cs="Times New Roman"/>
          <w:sz w:val="24"/>
        </w:rPr>
        <w:t xml:space="preserve">, несмотря на достаточно широкое распространение информационных технологий, связанных с компьютеризацией производственных и технологических процессов, основных и обеспечивающих функций управления; </w:t>
      </w:r>
      <w:proofErr w:type="gramStart"/>
      <w:r w:rsidRPr="008F2545">
        <w:rPr>
          <w:rFonts w:ascii="Times New Roman" w:hAnsi="Times New Roman" w:cs="Times New Roman"/>
          <w:sz w:val="24"/>
        </w:rPr>
        <w:t>выносится на обсуждение авторская модель разработки стратегии информатизации хозяйствующих субъектов, предполагающая изучение предметных областей с позиций целесообразности информатизации, разработку концепции информатизации и формирования системы ИО, оценку влияющих на выбор модели факторов, выбор модели информатизации, адекватной информационным потребностям хозяйствующего субъекта, формирование системы ИО, мониторинг ее эффективности; выделяется несколько типов стратегии информатизации (пассивная, активная, вертикальная информатизация, стратегия формирования конкурентных преимуществ);</w:t>
      </w:r>
      <w:proofErr w:type="gramEnd"/>
      <w:r w:rsidRPr="008F2545">
        <w:rPr>
          <w:rFonts w:ascii="Times New Roman" w:hAnsi="Times New Roman" w:cs="Times New Roman"/>
          <w:sz w:val="24"/>
        </w:rPr>
        <w:t xml:space="preserve"> обосновывается необходимость включения информатизации аграрного сектора в круг приоритетных задач при разработке Государственных программ развития сельского хозяйства.</w:t>
      </w:r>
    </w:p>
    <w:p w:rsidR="008F2545" w:rsidRPr="008F2545" w:rsidRDefault="008F2545" w:rsidP="008F2545">
      <w:pPr>
        <w:pStyle w:val="a3"/>
        <w:ind w:firstLine="724"/>
        <w:jc w:val="both"/>
        <w:rPr>
          <w:rFonts w:ascii="Times New Roman" w:hAnsi="Times New Roman" w:cs="Times New Roman"/>
          <w:sz w:val="24"/>
        </w:rPr>
      </w:pPr>
    </w:p>
    <w:p w:rsidR="001F44A1" w:rsidRPr="00EC2714" w:rsidRDefault="001F44A1" w:rsidP="00EC2714">
      <w:pPr>
        <w:pStyle w:val="a3"/>
        <w:ind w:firstLine="709"/>
        <w:jc w:val="both"/>
        <w:rPr>
          <w:rFonts w:ascii="Times New Roman" w:hAnsi="Times New Roman" w:cs="Times New Roman"/>
          <w:sz w:val="28"/>
        </w:rPr>
      </w:pPr>
      <w:r w:rsidRPr="00EC2714">
        <w:rPr>
          <w:rFonts w:ascii="Times New Roman" w:hAnsi="Times New Roman" w:cs="Times New Roman"/>
          <w:sz w:val="28"/>
        </w:rPr>
        <w:t xml:space="preserve">Липченко, Е. А. Инвестиции и </w:t>
      </w:r>
      <w:proofErr w:type="spellStart"/>
      <w:r w:rsidRPr="00EC2714">
        <w:rPr>
          <w:rFonts w:ascii="Times New Roman" w:hAnsi="Times New Roman" w:cs="Times New Roman"/>
          <w:sz w:val="28"/>
        </w:rPr>
        <w:t>капиталовооруженность</w:t>
      </w:r>
      <w:proofErr w:type="spellEnd"/>
      <w:r w:rsidRPr="00EC2714">
        <w:rPr>
          <w:rFonts w:ascii="Times New Roman" w:hAnsi="Times New Roman" w:cs="Times New Roman"/>
          <w:sz w:val="28"/>
        </w:rPr>
        <w:t xml:space="preserve"> в сельском хозяйстве / Е. А. Липченко // Экономика с</w:t>
      </w:r>
      <w:r w:rsidR="00EC2714">
        <w:rPr>
          <w:rFonts w:ascii="Times New Roman" w:hAnsi="Times New Roman" w:cs="Times New Roman"/>
          <w:sz w:val="28"/>
        </w:rPr>
        <w:t>.-</w:t>
      </w:r>
      <w:r w:rsidRPr="00EC2714">
        <w:rPr>
          <w:rFonts w:ascii="Times New Roman" w:hAnsi="Times New Roman" w:cs="Times New Roman"/>
          <w:sz w:val="28"/>
        </w:rPr>
        <w:t>х</w:t>
      </w:r>
      <w:r w:rsidR="00EC2714">
        <w:rPr>
          <w:rFonts w:ascii="Times New Roman" w:hAnsi="Times New Roman" w:cs="Times New Roman"/>
          <w:sz w:val="28"/>
        </w:rPr>
        <w:t>.</w:t>
      </w:r>
      <w:r w:rsidRPr="00EC2714">
        <w:rPr>
          <w:rFonts w:ascii="Times New Roman" w:hAnsi="Times New Roman" w:cs="Times New Roman"/>
          <w:sz w:val="28"/>
        </w:rPr>
        <w:t xml:space="preserve"> и </w:t>
      </w:r>
      <w:proofErr w:type="spellStart"/>
      <w:r w:rsidRPr="00EC2714">
        <w:rPr>
          <w:rFonts w:ascii="Times New Roman" w:hAnsi="Times New Roman" w:cs="Times New Roman"/>
          <w:sz w:val="28"/>
        </w:rPr>
        <w:t>перерабат</w:t>
      </w:r>
      <w:proofErr w:type="spellEnd"/>
      <w:r w:rsidR="00EC2714">
        <w:rPr>
          <w:rFonts w:ascii="Times New Roman" w:hAnsi="Times New Roman" w:cs="Times New Roman"/>
          <w:sz w:val="28"/>
        </w:rPr>
        <w:t xml:space="preserve">. </w:t>
      </w:r>
      <w:r w:rsidRPr="00EC2714">
        <w:rPr>
          <w:rFonts w:ascii="Times New Roman" w:hAnsi="Times New Roman" w:cs="Times New Roman"/>
          <w:sz w:val="28"/>
        </w:rPr>
        <w:t xml:space="preserve">предприятий. </w:t>
      </w:r>
      <w:r w:rsidR="00EC2714">
        <w:rPr>
          <w:rFonts w:ascii="Times New Roman" w:hAnsi="Times New Roman" w:cs="Times New Roman"/>
          <w:sz w:val="28"/>
        </w:rPr>
        <w:t>–</w:t>
      </w:r>
      <w:r w:rsidRPr="00EC2714">
        <w:rPr>
          <w:rFonts w:ascii="Times New Roman" w:hAnsi="Times New Roman" w:cs="Times New Roman"/>
          <w:sz w:val="28"/>
        </w:rPr>
        <w:t xml:space="preserve"> 2018. </w:t>
      </w:r>
      <w:r w:rsidR="00EC2714">
        <w:rPr>
          <w:rFonts w:ascii="Times New Roman" w:hAnsi="Times New Roman" w:cs="Times New Roman"/>
          <w:sz w:val="28"/>
        </w:rPr>
        <w:t>– №</w:t>
      </w:r>
      <w:r w:rsidRPr="00EC2714">
        <w:rPr>
          <w:rFonts w:ascii="Times New Roman" w:hAnsi="Times New Roman" w:cs="Times New Roman"/>
          <w:sz w:val="28"/>
        </w:rPr>
        <w:t xml:space="preserve"> 6. </w:t>
      </w:r>
      <w:r w:rsidR="00EC2714">
        <w:rPr>
          <w:rFonts w:ascii="Times New Roman" w:hAnsi="Times New Roman" w:cs="Times New Roman"/>
          <w:sz w:val="28"/>
        </w:rPr>
        <w:t>–</w:t>
      </w:r>
      <w:r w:rsidRPr="00EC2714">
        <w:rPr>
          <w:rFonts w:ascii="Times New Roman" w:hAnsi="Times New Roman" w:cs="Times New Roman"/>
          <w:sz w:val="28"/>
        </w:rPr>
        <w:t xml:space="preserve"> С. 40</w:t>
      </w:r>
      <w:r w:rsidR="00EC2714">
        <w:rPr>
          <w:rFonts w:ascii="Times New Roman" w:hAnsi="Times New Roman" w:cs="Times New Roman"/>
          <w:sz w:val="28"/>
        </w:rPr>
        <w:t>–</w:t>
      </w:r>
      <w:r w:rsidRPr="00EC2714">
        <w:rPr>
          <w:rFonts w:ascii="Times New Roman" w:hAnsi="Times New Roman" w:cs="Times New Roman"/>
          <w:sz w:val="28"/>
        </w:rPr>
        <w:t>42</w:t>
      </w:r>
      <w:proofErr w:type="gramStart"/>
      <w:r w:rsidRPr="00EC2714">
        <w:rPr>
          <w:rFonts w:ascii="Times New Roman" w:hAnsi="Times New Roman" w:cs="Times New Roman"/>
          <w:sz w:val="28"/>
        </w:rPr>
        <w:t xml:space="preserve"> :</w:t>
      </w:r>
      <w:proofErr w:type="gramEnd"/>
      <w:r w:rsidRPr="00EC2714">
        <w:rPr>
          <w:rFonts w:ascii="Times New Roman" w:hAnsi="Times New Roman" w:cs="Times New Roman"/>
          <w:sz w:val="28"/>
        </w:rPr>
        <w:t xml:space="preserve"> рис. </w:t>
      </w:r>
    </w:p>
    <w:p w:rsidR="00EC2714" w:rsidRDefault="001F44A1" w:rsidP="00EC2714">
      <w:pPr>
        <w:pStyle w:val="a3"/>
        <w:ind w:firstLine="709"/>
        <w:jc w:val="both"/>
        <w:rPr>
          <w:rFonts w:ascii="Times New Roman" w:hAnsi="Times New Roman" w:cs="Times New Roman"/>
          <w:sz w:val="24"/>
        </w:rPr>
      </w:pPr>
      <w:r w:rsidRPr="00EC2714">
        <w:rPr>
          <w:rFonts w:ascii="Times New Roman" w:hAnsi="Times New Roman" w:cs="Times New Roman"/>
          <w:sz w:val="24"/>
        </w:rPr>
        <w:t xml:space="preserve">В статье показано, что </w:t>
      </w:r>
      <w:proofErr w:type="spellStart"/>
      <w:r w:rsidRPr="00EC2714">
        <w:rPr>
          <w:rFonts w:ascii="Times New Roman" w:hAnsi="Times New Roman" w:cs="Times New Roman"/>
          <w:sz w:val="24"/>
        </w:rPr>
        <w:t>капиталовооруженность</w:t>
      </w:r>
      <w:proofErr w:type="spellEnd"/>
      <w:r w:rsidRPr="00EC2714">
        <w:rPr>
          <w:rFonts w:ascii="Times New Roman" w:hAnsi="Times New Roman" w:cs="Times New Roman"/>
          <w:sz w:val="24"/>
        </w:rPr>
        <w:t xml:space="preserve"> в сельском хозяйстве определяет возможности наращивания объемов производства продовольствия исходя из имеющегося запаса капитала. Используя Золотое правило накопления Р. </w:t>
      </w:r>
      <w:proofErr w:type="spellStart"/>
      <w:r w:rsidRPr="00EC2714">
        <w:rPr>
          <w:rFonts w:ascii="Times New Roman" w:hAnsi="Times New Roman" w:cs="Times New Roman"/>
          <w:sz w:val="24"/>
        </w:rPr>
        <w:t>Солоу</w:t>
      </w:r>
      <w:proofErr w:type="spellEnd"/>
      <w:r w:rsidRPr="00EC2714">
        <w:rPr>
          <w:rFonts w:ascii="Times New Roman" w:hAnsi="Times New Roman" w:cs="Times New Roman"/>
          <w:sz w:val="24"/>
        </w:rPr>
        <w:t xml:space="preserve">, целесообразно дополнить инвестиционную политику в регионах автоматическим стабилизатором, базирующимся на равенстве чистого предельного продукта капитала и темпа прироста объемов производства. </w:t>
      </w:r>
    </w:p>
    <w:p w:rsidR="001F44A1" w:rsidRDefault="001F44A1" w:rsidP="00197809">
      <w:pPr>
        <w:pStyle w:val="a3"/>
        <w:jc w:val="center"/>
        <w:rPr>
          <w:rFonts w:ascii="Times New Roman" w:hAnsi="Times New Roman" w:cs="Times New Roman"/>
          <w:sz w:val="24"/>
        </w:rPr>
      </w:pPr>
    </w:p>
    <w:p w:rsidR="004E4E82" w:rsidRPr="004E4E82" w:rsidRDefault="004E4E82" w:rsidP="004E4E82">
      <w:pPr>
        <w:pStyle w:val="a3"/>
        <w:ind w:firstLine="709"/>
        <w:jc w:val="both"/>
        <w:rPr>
          <w:rFonts w:ascii="Times New Roman" w:hAnsi="Times New Roman" w:cs="Times New Roman"/>
          <w:sz w:val="28"/>
        </w:rPr>
      </w:pPr>
      <w:proofErr w:type="spellStart"/>
      <w:r w:rsidRPr="004E4E82">
        <w:rPr>
          <w:rFonts w:ascii="Times New Roman" w:hAnsi="Times New Roman" w:cs="Times New Roman"/>
          <w:sz w:val="28"/>
        </w:rPr>
        <w:t>Мокина</w:t>
      </w:r>
      <w:proofErr w:type="spellEnd"/>
      <w:r w:rsidRPr="004E4E82">
        <w:rPr>
          <w:rFonts w:ascii="Times New Roman" w:hAnsi="Times New Roman" w:cs="Times New Roman"/>
          <w:sz w:val="28"/>
        </w:rPr>
        <w:t xml:space="preserve">, Л. С. Тенденции развития аграрного сектора Свердловской области на современном этапе / </w:t>
      </w:r>
      <w:r w:rsidR="00366D0D" w:rsidRPr="004E4E82">
        <w:rPr>
          <w:rFonts w:ascii="Times New Roman" w:hAnsi="Times New Roman" w:cs="Times New Roman"/>
          <w:sz w:val="28"/>
        </w:rPr>
        <w:t>Л.</w:t>
      </w:r>
      <w:r w:rsidR="00366D0D">
        <w:rPr>
          <w:rFonts w:ascii="Times New Roman" w:hAnsi="Times New Roman" w:cs="Times New Roman"/>
          <w:sz w:val="28"/>
        </w:rPr>
        <w:t xml:space="preserve"> </w:t>
      </w:r>
      <w:r w:rsidR="00366D0D" w:rsidRPr="004E4E82">
        <w:rPr>
          <w:rFonts w:ascii="Times New Roman" w:hAnsi="Times New Roman" w:cs="Times New Roman"/>
          <w:sz w:val="28"/>
        </w:rPr>
        <w:t xml:space="preserve">С. </w:t>
      </w:r>
      <w:proofErr w:type="spellStart"/>
      <w:r w:rsidRPr="004E4E82">
        <w:rPr>
          <w:rFonts w:ascii="Times New Roman" w:hAnsi="Times New Roman" w:cs="Times New Roman"/>
          <w:sz w:val="28"/>
        </w:rPr>
        <w:t>Мокина</w:t>
      </w:r>
      <w:proofErr w:type="spellEnd"/>
      <w:r w:rsidRPr="004E4E82">
        <w:rPr>
          <w:rFonts w:ascii="Times New Roman" w:hAnsi="Times New Roman" w:cs="Times New Roman"/>
          <w:sz w:val="28"/>
        </w:rPr>
        <w:t xml:space="preserve"> // Овощи России. – 2018. – № 4. – С. </w:t>
      </w:r>
      <w:r>
        <w:rPr>
          <w:rFonts w:ascii="Times New Roman" w:hAnsi="Times New Roman" w:cs="Times New Roman"/>
          <w:sz w:val="28"/>
        </w:rPr>
        <w:t>55–</w:t>
      </w:r>
      <w:r w:rsidRPr="004E4E82">
        <w:rPr>
          <w:rFonts w:ascii="Times New Roman" w:hAnsi="Times New Roman" w:cs="Times New Roman"/>
          <w:sz w:val="28"/>
        </w:rPr>
        <w:t>61</w:t>
      </w:r>
      <w:r>
        <w:rPr>
          <w:rFonts w:ascii="Times New Roman" w:hAnsi="Times New Roman" w:cs="Times New Roman"/>
          <w:sz w:val="28"/>
        </w:rPr>
        <w:t>.</w:t>
      </w:r>
    </w:p>
    <w:p w:rsidR="004E4E82" w:rsidRDefault="004E4E82" w:rsidP="00197809">
      <w:pPr>
        <w:pStyle w:val="a3"/>
        <w:jc w:val="center"/>
        <w:rPr>
          <w:rFonts w:ascii="Times New Roman" w:hAnsi="Times New Roman" w:cs="Times New Roman"/>
          <w:sz w:val="24"/>
        </w:rPr>
      </w:pPr>
    </w:p>
    <w:p w:rsidR="00992B04" w:rsidRPr="00992B04" w:rsidRDefault="00992B04" w:rsidP="00992B04">
      <w:pPr>
        <w:pStyle w:val="a3"/>
        <w:ind w:firstLine="709"/>
        <w:jc w:val="both"/>
        <w:rPr>
          <w:rFonts w:ascii="Times New Roman" w:hAnsi="Times New Roman" w:cs="Times New Roman"/>
          <w:sz w:val="28"/>
        </w:rPr>
      </w:pPr>
      <w:r w:rsidRPr="00992B04">
        <w:rPr>
          <w:rFonts w:ascii="Times New Roman" w:hAnsi="Times New Roman" w:cs="Times New Roman"/>
          <w:sz w:val="28"/>
        </w:rPr>
        <w:t>Нуралиев, С. У. Экономическая политика и её роль в повышении конкурентоспособности продукции АПК / С. У. Нуралиев // Экономика с</w:t>
      </w:r>
      <w:r>
        <w:rPr>
          <w:rFonts w:ascii="Times New Roman" w:hAnsi="Times New Roman" w:cs="Times New Roman"/>
          <w:sz w:val="28"/>
        </w:rPr>
        <w:t>.-</w:t>
      </w:r>
      <w:r w:rsidRPr="00992B04">
        <w:rPr>
          <w:rFonts w:ascii="Times New Roman" w:hAnsi="Times New Roman" w:cs="Times New Roman"/>
          <w:sz w:val="28"/>
        </w:rPr>
        <w:t>х</w:t>
      </w:r>
      <w:r>
        <w:rPr>
          <w:rFonts w:ascii="Times New Roman" w:hAnsi="Times New Roman" w:cs="Times New Roman"/>
          <w:sz w:val="28"/>
        </w:rPr>
        <w:t>.</w:t>
      </w:r>
      <w:r w:rsidRPr="00992B04">
        <w:rPr>
          <w:rFonts w:ascii="Times New Roman" w:hAnsi="Times New Roman" w:cs="Times New Roman"/>
          <w:sz w:val="28"/>
        </w:rPr>
        <w:t xml:space="preserve"> и </w:t>
      </w:r>
      <w:proofErr w:type="spellStart"/>
      <w:r w:rsidRPr="00992B04">
        <w:rPr>
          <w:rFonts w:ascii="Times New Roman" w:hAnsi="Times New Roman" w:cs="Times New Roman"/>
          <w:sz w:val="28"/>
        </w:rPr>
        <w:t>перерабат</w:t>
      </w:r>
      <w:proofErr w:type="spellEnd"/>
      <w:r>
        <w:rPr>
          <w:rFonts w:ascii="Times New Roman" w:hAnsi="Times New Roman" w:cs="Times New Roman"/>
          <w:sz w:val="28"/>
        </w:rPr>
        <w:t>.</w:t>
      </w:r>
      <w:r w:rsidRPr="00992B04">
        <w:rPr>
          <w:rFonts w:ascii="Times New Roman" w:hAnsi="Times New Roman" w:cs="Times New Roman"/>
          <w:sz w:val="28"/>
        </w:rPr>
        <w:t xml:space="preserve"> предприятий. </w:t>
      </w:r>
      <w:r>
        <w:rPr>
          <w:rFonts w:ascii="Times New Roman" w:hAnsi="Times New Roman" w:cs="Times New Roman"/>
          <w:sz w:val="28"/>
        </w:rPr>
        <w:t>–</w:t>
      </w:r>
      <w:r w:rsidRPr="00992B04">
        <w:rPr>
          <w:rFonts w:ascii="Times New Roman" w:hAnsi="Times New Roman" w:cs="Times New Roman"/>
          <w:sz w:val="28"/>
        </w:rPr>
        <w:t xml:space="preserve"> 2018. </w:t>
      </w:r>
      <w:r>
        <w:rPr>
          <w:rFonts w:ascii="Times New Roman" w:hAnsi="Times New Roman" w:cs="Times New Roman"/>
          <w:sz w:val="28"/>
        </w:rPr>
        <w:t xml:space="preserve">– № </w:t>
      </w:r>
      <w:r w:rsidRPr="00992B04">
        <w:rPr>
          <w:rFonts w:ascii="Times New Roman" w:hAnsi="Times New Roman" w:cs="Times New Roman"/>
          <w:sz w:val="28"/>
        </w:rPr>
        <w:t xml:space="preserve">5. </w:t>
      </w:r>
      <w:r>
        <w:rPr>
          <w:rFonts w:ascii="Times New Roman" w:hAnsi="Times New Roman" w:cs="Times New Roman"/>
          <w:sz w:val="28"/>
        </w:rPr>
        <w:t>–</w:t>
      </w:r>
      <w:r w:rsidRPr="00992B04">
        <w:rPr>
          <w:rFonts w:ascii="Times New Roman" w:hAnsi="Times New Roman" w:cs="Times New Roman"/>
          <w:sz w:val="28"/>
        </w:rPr>
        <w:t xml:space="preserve"> С. 8</w:t>
      </w:r>
      <w:r>
        <w:rPr>
          <w:rFonts w:ascii="Times New Roman" w:hAnsi="Times New Roman" w:cs="Times New Roman"/>
          <w:sz w:val="28"/>
        </w:rPr>
        <w:t>–</w:t>
      </w:r>
      <w:r w:rsidRPr="00992B04">
        <w:rPr>
          <w:rFonts w:ascii="Times New Roman" w:hAnsi="Times New Roman" w:cs="Times New Roman"/>
          <w:sz w:val="28"/>
        </w:rPr>
        <w:t xml:space="preserve">10. </w:t>
      </w:r>
    </w:p>
    <w:p w:rsidR="00992B04" w:rsidRDefault="00992B04" w:rsidP="00992B04">
      <w:pPr>
        <w:pStyle w:val="a3"/>
        <w:ind w:firstLine="709"/>
        <w:jc w:val="both"/>
        <w:rPr>
          <w:rFonts w:ascii="Times New Roman" w:hAnsi="Times New Roman" w:cs="Times New Roman"/>
          <w:sz w:val="24"/>
        </w:rPr>
      </w:pPr>
      <w:r w:rsidRPr="00992B04">
        <w:rPr>
          <w:rFonts w:ascii="Times New Roman" w:hAnsi="Times New Roman" w:cs="Times New Roman"/>
          <w:sz w:val="24"/>
        </w:rPr>
        <w:t>В статье рассматриваются основные направления экономической политики государства и вопросы совершенствования торгово-экономической, налогово-бюджетной, инвестиционной и кредитно-денежной, научно-технической и образовательной политики для повышения конкурентоспособности продукции агропродовольственного комплекса на внутреннем и международном рынках на основе эффективного использования экономических ресурсов общества.</w:t>
      </w:r>
    </w:p>
    <w:p w:rsidR="007C3AC0" w:rsidRDefault="007C3AC0" w:rsidP="00992B04">
      <w:pPr>
        <w:pStyle w:val="a3"/>
        <w:ind w:firstLine="709"/>
        <w:jc w:val="both"/>
        <w:rPr>
          <w:rFonts w:ascii="Times New Roman" w:hAnsi="Times New Roman" w:cs="Times New Roman"/>
          <w:sz w:val="24"/>
        </w:rPr>
      </w:pPr>
    </w:p>
    <w:p w:rsidR="00320D5F" w:rsidRPr="00320D5F" w:rsidRDefault="00320D5F" w:rsidP="00320D5F">
      <w:pPr>
        <w:pStyle w:val="a3"/>
        <w:ind w:firstLine="709"/>
        <w:jc w:val="both"/>
        <w:rPr>
          <w:rFonts w:ascii="Times New Roman" w:hAnsi="Times New Roman" w:cs="Times New Roman"/>
          <w:sz w:val="28"/>
        </w:rPr>
      </w:pPr>
      <w:r w:rsidRPr="00320D5F">
        <w:rPr>
          <w:rFonts w:ascii="Times New Roman" w:hAnsi="Times New Roman" w:cs="Times New Roman"/>
          <w:sz w:val="28"/>
        </w:rPr>
        <w:t>Оборин</w:t>
      </w:r>
      <w:r>
        <w:rPr>
          <w:rFonts w:ascii="Times New Roman" w:hAnsi="Times New Roman" w:cs="Times New Roman"/>
          <w:sz w:val="28"/>
        </w:rPr>
        <w:t>,</w:t>
      </w:r>
      <w:r w:rsidRPr="00320D5F">
        <w:rPr>
          <w:rFonts w:ascii="Times New Roman" w:hAnsi="Times New Roman" w:cs="Times New Roman"/>
          <w:sz w:val="28"/>
        </w:rPr>
        <w:t xml:space="preserve"> М.</w:t>
      </w:r>
      <w:r>
        <w:rPr>
          <w:rFonts w:ascii="Times New Roman" w:hAnsi="Times New Roman" w:cs="Times New Roman"/>
          <w:sz w:val="28"/>
        </w:rPr>
        <w:t xml:space="preserve"> </w:t>
      </w:r>
      <w:r w:rsidRPr="00320D5F">
        <w:rPr>
          <w:rFonts w:ascii="Times New Roman" w:hAnsi="Times New Roman" w:cs="Times New Roman"/>
          <w:sz w:val="28"/>
        </w:rPr>
        <w:t>С. Основные направления модернизации сельского хозяйства в современной России / М.</w:t>
      </w:r>
      <w:r>
        <w:rPr>
          <w:rFonts w:ascii="Times New Roman" w:hAnsi="Times New Roman" w:cs="Times New Roman"/>
          <w:sz w:val="28"/>
        </w:rPr>
        <w:t xml:space="preserve"> </w:t>
      </w:r>
      <w:r w:rsidRPr="00320D5F">
        <w:rPr>
          <w:rFonts w:ascii="Times New Roman" w:hAnsi="Times New Roman" w:cs="Times New Roman"/>
          <w:sz w:val="28"/>
        </w:rPr>
        <w:t xml:space="preserve">С. Оборин // </w:t>
      </w:r>
      <w:proofErr w:type="spellStart"/>
      <w:r w:rsidRPr="00320D5F">
        <w:rPr>
          <w:rFonts w:ascii="Times New Roman" w:hAnsi="Times New Roman" w:cs="Times New Roman"/>
          <w:sz w:val="28"/>
        </w:rPr>
        <w:t>Вестн</w:t>
      </w:r>
      <w:proofErr w:type="spellEnd"/>
      <w:r w:rsidRPr="00320D5F">
        <w:rPr>
          <w:rFonts w:ascii="Times New Roman" w:hAnsi="Times New Roman" w:cs="Times New Roman"/>
          <w:sz w:val="28"/>
        </w:rPr>
        <w:t>. Марийского гос. ун-та. Сер</w:t>
      </w:r>
      <w:proofErr w:type="gramStart"/>
      <w:r w:rsidRPr="00320D5F">
        <w:rPr>
          <w:rFonts w:ascii="Times New Roman" w:hAnsi="Times New Roman" w:cs="Times New Roman"/>
          <w:sz w:val="28"/>
        </w:rPr>
        <w:t xml:space="preserve">.: </w:t>
      </w:r>
      <w:proofErr w:type="gramEnd"/>
      <w:r w:rsidRPr="00320D5F">
        <w:rPr>
          <w:rFonts w:ascii="Times New Roman" w:hAnsi="Times New Roman" w:cs="Times New Roman"/>
          <w:sz w:val="28"/>
        </w:rPr>
        <w:t>С.-х. науки. Эконом</w:t>
      </w:r>
      <w:proofErr w:type="gramStart"/>
      <w:r w:rsidRPr="00320D5F">
        <w:rPr>
          <w:rFonts w:ascii="Times New Roman" w:hAnsi="Times New Roman" w:cs="Times New Roman"/>
          <w:sz w:val="28"/>
        </w:rPr>
        <w:t>.</w:t>
      </w:r>
      <w:proofErr w:type="gramEnd"/>
      <w:r w:rsidRPr="00320D5F">
        <w:rPr>
          <w:rFonts w:ascii="Times New Roman" w:hAnsi="Times New Roman" w:cs="Times New Roman"/>
          <w:sz w:val="28"/>
        </w:rPr>
        <w:t xml:space="preserve"> </w:t>
      </w:r>
      <w:proofErr w:type="gramStart"/>
      <w:r w:rsidRPr="00320D5F">
        <w:rPr>
          <w:rFonts w:ascii="Times New Roman" w:hAnsi="Times New Roman" w:cs="Times New Roman"/>
          <w:sz w:val="28"/>
        </w:rPr>
        <w:t>н</w:t>
      </w:r>
      <w:proofErr w:type="gramEnd"/>
      <w:r w:rsidRPr="00320D5F">
        <w:rPr>
          <w:rFonts w:ascii="Times New Roman" w:hAnsi="Times New Roman" w:cs="Times New Roman"/>
          <w:sz w:val="28"/>
        </w:rPr>
        <w:t>ауки. – 2018. – № 2. – С. 118–126</w:t>
      </w:r>
      <w:r>
        <w:rPr>
          <w:rFonts w:ascii="Times New Roman" w:hAnsi="Times New Roman" w:cs="Times New Roman"/>
          <w:sz w:val="28"/>
        </w:rPr>
        <w:t>.</w:t>
      </w:r>
    </w:p>
    <w:p w:rsidR="00320D5F" w:rsidRPr="00992B04" w:rsidRDefault="00320D5F" w:rsidP="00992B04">
      <w:pPr>
        <w:pStyle w:val="a3"/>
        <w:ind w:firstLine="709"/>
        <w:jc w:val="both"/>
        <w:rPr>
          <w:rFonts w:ascii="Times New Roman" w:hAnsi="Times New Roman" w:cs="Times New Roman"/>
          <w:sz w:val="24"/>
        </w:rPr>
      </w:pPr>
    </w:p>
    <w:p w:rsidR="00992B04" w:rsidRDefault="007C3AC0" w:rsidP="007C3AC0">
      <w:pPr>
        <w:pStyle w:val="a3"/>
        <w:ind w:firstLine="709"/>
        <w:jc w:val="both"/>
        <w:rPr>
          <w:rFonts w:ascii="Times New Roman" w:hAnsi="Times New Roman" w:cs="Times New Roman"/>
          <w:sz w:val="28"/>
        </w:rPr>
      </w:pPr>
      <w:r w:rsidRPr="007C3AC0">
        <w:rPr>
          <w:rFonts w:ascii="Times New Roman" w:hAnsi="Times New Roman" w:cs="Times New Roman"/>
          <w:sz w:val="28"/>
        </w:rPr>
        <w:t>Прибыткова</w:t>
      </w:r>
      <w:r>
        <w:rPr>
          <w:rFonts w:ascii="Times New Roman" w:hAnsi="Times New Roman" w:cs="Times New Roman"/>
          <w:sz w:val="28"/>
        </w:rPr>
        <w:t>,</w:t>
      </w:r>
      <w:r w:rsidRPr="007C3AC0">
        <w:rPr>
          <w:rFonts w:ascii="Times New Roman" w:hAnsi="Times New Roman" w:cs="Times New Roman"/>
          <w:sz w:val="28"/>
        </w:rPr>
        <w:t xml:space="preserve"> И.</w:t>
      </w:r>
      <w:r>
        <w:rPr>
          <w:rFonts w:ascii="Times New Roman" w:hAnsi="Times New Roman" w:cs="Times New Roman"/>
          <w:sz w:val="28"/>
        </w:rPr>
        <w:t xml:space="preserve"> </w:t>
      </w:r>
      <w:r w:rsidRPr="007C3AC0">
        <w:rPr>
          <w:rFonts w:ascii="Times New Roman" w:hAnsi="Times New Roman" w:cs="Times New Roman"/>
          <w:sz w:val="28"/>
        </w:rPr>
        <w:t>И. Аграрная структура России в процессе становления системы рыночных отношений / И.</w:t>
      </w:r>
      <w:r>
        <w:rPr>
          <w:rFonts w:ascii="Times New Roman" w:hAnsi="Times New Roman" w:cs="Times New Roman"/>
          <w:sz w:val="28"/>
        </w:rPr>
        <w:t xml:space="preserve"> </w:t>
      </w:r>
      <w:r w:rsidRPr="007C3AC0">
        <w:rPr>
          <w:rFonts w:ascii="Times New Roman" w:hAnsi="Times New Roman" w:cs="Times New Roman"/>
          <w:sz w:val="28"/>
        </w:rPr>
        <w:t xml:space="preserve">И. Прибыткова // </w:t>
      </w:r>
      <w:proofErr w:type="spellStart"/>
      <w:r w:rsidRPr="007C3AC0">
        <w:rPr>
          <w:rFonts w:ascii="Times New Roman" w:hAnsi="Times New Roman" w:cs="Times New Roman"/>
          <w:sz w:val="28"/>
        </w:rPr>
        <w:t>Вестн</w:t>
      </w:r>
      <w:proofErr w:type="spellEnd"/>
      <w:r w:rsidRPr="007C3AC0">
        <w:rPr>
          <w:rFonts w:ascii="Times New Roman" w:hAnsi="Times New Roman" w:cs="Times New Roman"/>
          <w:sz w:val="28"/>
        </w:rPr>
        <w:t>. Курской гос. с.-х. акад. – 2018. – № 5. – С. 194–200.</w:t>
      </w:r>
    </w:p>
    <w:p w:rsidR="00FF457A" w:rsidRPr="00FF457A" w:rsidRDefault="00FF457A" w:rsidP="00FF457A">
      <w:pPr>
        <w:pStyle w:val="a3"/>
        <w:ind w:firstLine="709"/>
        <w:jc w:val="both"/>
        <w:rPr>
          <w:rFonts w:ascii="Times New Roman" w:hAnsi="Times New Roman" w:cs="Times New Roman"/>
          <w:sz w:val="28"/>
        </w:rPr>
      </w:pPr>
      <w:r w:rsidRPr="00FF457A">
        <w:rPr>
          <w:rFonts w:ascii="Times New Roman" w:hAnsi="Times New Roman" w:cs="Times New Roman"/>
          <w:sz w:val="28"/>
        </w:rPr>
        <w:lastRenderedPageBreak/>
        <w:t xml:space="preserve">Романюк, М. А. Современное состояние и проблемы развития сельскохозяйственного производства и агропродовольственного рынка России / М. А. Романюк, Р. Р. </w:t>
      </w:r>
      <w:proofErr w:type="spellStart"/>
      <w:r w:rsidRPr="00FF457A">
        <w:rPr>
          <w:rFonts w:ascii="Times New Roman" w:hAnsi="Times New Roman" w:cs="Times New Roman"/>
          <w:sz w:val="28"/>
        </w:rPr>
        <w:t>Мухаметзянов</w:t>
      </w:r>
      <w:proofErr w:type="spellEnd"/>
      <w:r w:rsidRPr="00FF457A">
        <w:rPr>
          <w:rFonts w:ascii="Times New Roman" w:hAnsi="Times New Roman" w:cs="Times New Roman"/>
          <w:sz w:val="28"/>
        </w:rPr>
        <w:t xml:space="preserve">, С. В. </w:t>
      </w:r>
      <w:proofErr w:type="spellStart"/>
      <w:r w:rsidRPr="00FF457A">
        <w:rPr>
          <w:rFonts w:ascii="Times New Roman" w:hAnsi="Times New Roman" w:cs="Times New Roman"/>
          <w:sz w:val="28"/>
        </w:rPr>
        <w:t>Гузий</w:t>
      </w:r>
      <w:proofErr w:type="spellEnd"/>
      <w:r w:rsidRPr="00FF457A">
        <w:rPr>
          <w:rFonts w:ascii="Times New Roman" w:hAnsi="Times New Roman" w:cs="Times New Roman"/>
          <w:sz w:val="28"/>
        </w:rPr>
        <w:t xml:space="preserve"> // Экономика с</w:t>
      </w:r>
      <w:r>
        <w:rPr>
          <w:rFonts w:ascii="Times New Roman" w:hAnsi="Times New Roman" w:cs="Times New Roman"/>
          <w:sz w:val="28"/>
        </w:rPr>
        <w:t>.-</w:t>
      </w:r>
      <w:r w:rsidRPr="00FF457A">
        <w:rPr>
          <w:rFonts w:ascii="Times New Roman" w:hAnsi="Times New Roman" w:cs="Times New Roman"/>
          <w:sz w:val="28"/>
        </w:rPr>
        <w:t>х</w:t>
      </w:r>
      <w:r>
        <w:rPr>
          <w:rFonts w:ascii="Times New Roman" w:hAnsi="Times New Roman" w:cs="Times New Roman"/>
          <w:sz w:val="28"/>
        </w:rPr>
        <w:t>.</w:t>
      </w:r>
      <w:r w:rsidRPr="00FF457A">
        <w:rPr>
          <w:rFonts w:ascii="Times New Roman" w:hAnsi="Times New Roman" w:cs="Times New Roman"/>
          <w:sz w:val="28"/>
        </w:rPr>
        <w:t xml:space="preserve"> и </w:t>
      </w:r>
      <w:proofErr w:type="spellStart"/>
      <w:r w:rsidRPr="00FF457A">
        <w:rPr>
          <w:rFonts w:ascii="Times New Roman" w:hAnsi="Times New Roman" w:cs="Times New Roman"/>
          <w:sz w:val="28"/>
        </w:rPr>
        <w:t>перерабат</w:t>
      </w:r>
      <w:proofErr w:type="spellEnd"/>
      <w:r>
        <w:rPr>
          <w:rFonts w:ascii="Times New Roman" w:hAnsi="Times New Roman" w:cs="Times New Roman"/>
          <w:sz w:val="28"/>
        </w:rPr>
        <w:t>.</w:t>
      </w:r>
      <w:r w:rsidRPr="00FF457A">
        <w:rPr>
          <w:rFonts w:ascii="Times New Roman" w:hAnsi="Times New Roman" w:cs="Times New Roman"/>
          <w:sz w:val="28"/>
        </w:rPr>
        <w:t xml:space="preserve"> предприятий. </w:t>
      </w:r>
      <w:r>
        <w:rPr>
          <w:rFonts w:ascii="Times New Roman" w:hAnsi="Times New Roman" w:cs="Times New Roman"/>
          <w:sz w:val="28"/>
        </w:rPr>
        <w:t>–</w:t>
      </w:r>
      <w:r w:rsidRPr="00FF457A">
        <w:rPr>
          <w:rFonts w:ascii="Times New Roman" w:hAnsi="Times New Roman" w:cs="Times New Roman"/>
          <w:sz w:val="28"/>
        </w:rPr>
        <w:t xml:space="preserve"> 2018. </w:t>
      </w:r>
      <w:r>
        <w:rPr>
          <w:rFonts w:ascii="Times New Roman" w:hAnsi="Times New Roman" w:cs="Times New Roman"/>
          <w:sz w:val="28"/>
        </w:rPr>
        <w:t>– №</w:t>
      </w:r>
      <w:r w:rsidRPr="00FF457A">
        <w:rPr>
          <w:rFonts w:ascii="Times New Roman" w:hAnsi="Times New Roman" w:cs="Times New Roman"/>
          <w:sz w:val="28"/>
        </w:rPr>
        <w:t xml:space="preserve"> 6. </w:t>
      </w:r>
      <w:r>
        <w:rPr>
          <w:rFonts w:ascii="Times New Roman" w:hAnsi="Times New Roman" w:cs="Times New Roman"/>
          <w:sz w:val="28"/>
        </w:rPr>
        <w:t>–</w:t>
      </w:r>
      <w:r w:rsidRPr="00FF457A">
        <w:rPr>
          <w:rFonts w:ascii="Times New Roman" w:hAnsi="Times New Roman" w:cs="Times New Roman"/>
          <w:sz w:val="28"/>
        </w:rPr>
        <w:t xml:space="preserve"> С. 18</w:t>
      </w:r>
      <w:r>
        <w:rPr>
          <w:rFonts w:ascii="Times New Roman" w:hAnsi="Times New Roman" w:cs="Times New Roman"/>
          <w:sz w:val="28"/>
        </w:rPr>
        <w:t>–</w:t>
      </w:r>
      <w:r w:rsidRPr="00FF457A">
        <w:rPr>
          <w:rFonts w:ascii="Times New Roman" w:hAnsi="Times New Roman" w:cs="Times New Roman"/>
          <w:sz w:val="28"/>
        </w:rPr>
        <w:t>23</w:t>
      </w:r>
      <w:proofErr w:type="gramStart"/>
      <w:r w:rsidRPr="00FF457A">
        <w:rPr>
          <w:rFonts w:ascii="Times New Roman" w:hAnsi="Times New Roman" w:cs="Times New Roman"/>
          <w:sz w:val="28"/>
        </w:rPr>
        <w:t xml:space="preserve"> :</w:t>
      </w:r>
      <w:proofErr w:type="gramEnd"/>
      <w:r w:rsidRPr="00FF457A">
        <w:rPr>
          <w:rFonts w:ascii="Times New Roman" w:hAnsi="Times New Roman" w:cs="Times New Roman"/>
          <w:sz w:val="28"/>
        </w:rPr>
        <w:t xml:space="preserve"> 5 табл., рис. </w:t>
      </w:r>
    </w:p>
    <w:p w:rsidR="00FF457A" w:rsidRDefault="00FF457A" w:rsidP="00FF457A">
      <w:pPr>
        <w:pStyle w:val="a3"/>
        <w:ind w:firstLine="709"/>
        <w:jc w:val="both"/>
        <w:rPr>
          <w:rFonts w:ascii="Times New Roman" w:hAnsi="Times New Roman" w:cs="Times New Roman"/>
          <w:sz w:val="24"/>
        </w:rPr>
      </w:pPr>
      <w:r w:rsidRPr="00FF457A">
        <w:rPr>
          <w:rFonts w:ascii="Times New Roman" w:hAnsi="Times New Roman" w:cs="Times New Roman"/>
          <w:sz w:val="24"/>
        </w:rPr>
        <w:t xml:space="preserve">Обеспечение населения страны качественным продовольствием собственного производства - важнейшая государственная задача. Современная геополитическая ситуация диктует необходимость реализации политики </w:t>
      </w:r>
      <w:proofErr w:type="spellStart"/>
      <w:r w:rsidRPr="00FF457A">
        <w:rPr>
          <w:rFonts w:ascii="Times New Roman" w:hAnsi="Times New Roman" w:cs="Times New Roman"/>
          <w:sz w:val="24"/>
        </w:rPr>
        <w:t>импортозамещения</w:t>
      </w:r>
      <w:proofErr w:type="spellEnd"/>
      <w:r w:rsidRPr="00FF457A">
        <w:rPr>
          <w:rFonts w:ascii="Times New Roman" w:hAnsi="Times New Roman" w:cs="Times New Roman"/>
          <w:sz w:val="24"/>
        </w:rPr>
        <w:t xml:space="preserve"> и особого внимания государства к развитию сельского хозяйства и регулированию агропродовольственного рынка. В статье проанализированы два основных фактора, формирующих продовольственную независимость нашей страны. Во-первых, эволюция агропродовольственного рынка зависит от интенсивности развития отраслей АПК, а во-вторых - от тенденций развития потребительского рынка. Реализация государственных программ развития АПК обеспечила рост производства, однако ряд традиционных проблем пока не решены. Перспективы развития отечественного сельского хозяйства и агропродовольственного рынка тесно связаны с общемировыми тенденциями, и в будущем оно должно быть переориентировано на качественное развитие.</w:t>
      </w:r>
    </w:p>
    <w:p w:rsidR="006A54A2" w:rsidRPr="00FF457A" w:rsidRDefault="006A54A2" w:rsidP="00FF457A">
      <w:pPr>
        <w:pStyle w:val="a3"/>
        <w:ind w:firstLine="709"/>
        <w:jc w:val="both"/>
        <w:rPr>
          <w:rFonts w:ascii="Times New Roman" w:hAnsi="Times New Roman" w:cs="Times New Roman"/>
          <w:sz w:val="24"/>
        </w:rPr>
      </w:pPr>
    </w:p>
    <w:p w:rsidR="00197809" w:rsidRDefault="00197809" w:rsidP="00197809">
      <w:pPr>
        <w:pStyle w:val="a3"/>
        <w:ind w:firstLine="709"/>
        <w:jc w:val="both"/>
        <w:rPr>
          <w:rFonts w:ascii="Times New Roman" w:hAnsi="Times New Roman" w:cs="Times New Roman"/>
          <w:sz w:val="28"/>
        </w:rPr>
      </w:pPr>
      <w:proofErr w:type="spellStart"/>
      <w:r w:rsidRPr="00197809">
        <w:rPr>
          <w:rFonts w:ascii="Times New Roman" w:hAnsi="Times New Roman" w:cs="Times New Roman"/>
          <w:sz w:val="28"/>
        </w:rPr>
        <w:t>Шутьков</w:t>
      </w:r>
      <w:proofErr w:type="spellEnd"/>
      <w:r w:rsidRPr="00197809">
        <w:rPr>
          <w:rFonts w:ascii="Times New Roman" w:hAnsi="Times New Roman" w:cs="Times New Roman"/>
          <w:sz w:val="28"/>
        </w:rPr>
        <w:t xml:space="preserve">, А. А. Формирование стратегии активизации воспроизводственных процессов в АПК в условиях роста конкуренции на мировых рынках / А. А. </w:t>
      </w:r>
      <w:proofErr w:type="spellStart"/>
      <w:r w:rsidRPr="00197809">
        <w:rPr>
          <w:rFonts w:ascii="Times New Roman" w:hAnsi="Times New Roman" w:cs="Times New Roman"/>
          <w:sz w:val="28"/>
        </w:rPr>
        <w:t>Шутьков</w:t>
      </w:r>
      <w:proofErr w:type="spellEnd"/>
      <w:r w:rsidRPr="00197809">
        <w:rPr>
          <w:rFonts w:ascii="Times New Roman" w:hAnsi="Times New Roman" w:cs="Times New Roman"/>
          <w:sz w:val="28"/>
        </w:rPr>
        <w:t>, В. А. Цветков // Экономика с</w:t>
      </w:r>
      <w:r w:rsidR="00D97645">
        <w:rPr>
          <w:rFonts w:ascii="Times New Roman" w:hAnsi="Times New Roman" w:cs="Times New Roman"/>
          <w:sz w:val="28"/>
        </w:rPr>
        <w:t>.-</w:t>
      </w:r>
      <w:r w:rsidRPr="00197809">
        <w:rPr>
          <w:rFonts w:ascii="Times New Roman" w:hAnsi="Times New Roman" w:cs="Times New Roman"/>
          <w:sz w:val="28"/>
        </w:rPr>
        <w:t>х</w:t>
      </w:r>
      <w:r w:rsidR="00D97645">
        <w:rPr>
          <w:rFonts w:ascii="Times New Roman" w:hAnsi="Times New Roman" w:cs="Times New Roman"/>
          <w:sz w:val="28"/>
        </w:rPr>
        <w:t>.</w:t>
      </w:r>
      <w:r w:rsidRPr="00197809">
        <w:rPr>
          <w:rFonts w:ascii="Times New Roman" w:hAnsi="Times New Roman" w:cs="Times New Roman"/>
          <w:sz w:val="28"/>
        </w:rPr>
        <w:t xml:space="preserve"> и </w:t>
      </w:r>
      <w:proofErr w:type="spellStart"/>
      <w:r w:rsidRPr="00197809">
        <w:rPr>
          <w:rFonts w:ascii="Times New Roman" w:hAnsi="Times New Roman" w:cs="Times New Roman"/>
          <w:sz w:val="28"/>
        </w:rPr>
        <w:t>перерабат</w:t>
      </w:r>
      <w:proofErr w:type="spellEnd"/>
      <w:r w:rsidR="00D97645">
        <w:rPr>
          <w:rFonts w:ascii="Times New Roman" w:hAnsi="Times New Roman" w:cs="Times New Roman"/>
          <w:sz w:val="28"/>
        </w:rPr>
        <w:t>.</w:t>
      </w:r>
      <w:r w:rsidRPr="00197809">
        <w:rPr>
          <w:rFonts w:ascii="Times New Roman" w:hAnsi="Times New Roman" w:cs="Times New Roman"/>
          <w:sz w:val="28"/>
        </w:rPr>
        <w:t xml:space="preserve"> предприятий. </w:t>
      </w:r>
      <w:r>
        <w:rPr>
          <w:rFonts w:ascii="Times New Roman" w:hAnsi="Times New Roman" w:cs="Times New Roman"/>
          <w:sz w:val="28"/>
        </w:rPr>
        <w:t>–</w:t>
      </w:r>
      <w:r w:rsidRPr="00197809">
        <w:rPr>
          <w:rFonts w:ascii="Times New Roman" w:hAnsi="Times New Roman" w:cs="Times New Roman"/>
          <w:sz w:val="28"/>
        </w:rPr>
        <w:t xml:space="preserve"> 2018. </w:t>
      </w:r>
      <w:r>
        <w:rPr>
          <w:rFonts w:ascii="Times New Roman" w:hAnsi="Times New Roman" w:cs="Times New Roman"/>
          <w:sz w:val="28"/>
        </w:rPr>
        <w:t>– №</w:t>
      </w:r>
      <w:r w:rsidRPr="00197809">
        <w:rPr>
          <w:rFonts w:ascii="Times New Roman" w:hAnsi="Times New Roman" w:cs="Times New Roman"/>
          <w:sz w:val="28"/>
        </w:rPr>
        <w:t xml:space="preserve"> 8</w:t>
      </w:r>
      <w:r>
        <w:rPr>
          <w:rFonts w:ascii="Times New Roman" w:hAnsi="Times New Roman" w:cs="Times New Roman"/>
          <w:sz w:val="28"/>
        </w:rPr>
        <w:t>. – С. 2–</w:t>
      </w:r>
      <w:r w:rsidRPr="00197809">
        <w:rPr>
          <w:rFonts w:ascii="Times New Roman" w:hAnsi="Times New Roman" w:cs="Times New Roman"/>
          <w:sz w:val="28"/>
        </w:rPr>
        <w:t xml:space="preserve">7. </w:t>
      </w:r>
    </w:p>
    <w:p w:rsidR="00197809" w:rsidRPr="00197809" w:rsidRDefault="00197809" w:rsidP="00197809">
      <w:pPr>
        <w:pStyle w:val="a3"/>
        <w:ind w:firstLine="709"/>
        <w:jc w:val="both"/>
        <w:rPr>
          <w:rFonts w:ascii="Times New Roman" w:hAnsi="Times New Roman" w:cs="Times New Roman"/>
          <w:sz w:val="24"/>
        </w:rPr>
      </w:pPr>
      <w:r w:rsidRPr="00197809">
        <w:rPr>
          <w:rFonts w:ascii="Times New Roman" w:hAnsi="Times New Roman" w:cs="Times New Roman"/>
          <w:sz w:val="24"/>
        </w:rPr>
        <w:t xml:space="preserve">В статье дана оценка современного состояния агропромышленного производства в России. Отмечены низкие темпы роста производства и переработки сельскохозяйственной продукции, недостаточный уровень доходности товаропроизводителей, наличие рисков при </w:t>
      </w:r>
      <w:proofErr w:type="gramStart"/>
      <w:r w:rsidRPr="00197809">
        <w:rPr>
          <w:rFonts w:ascii="Times New Roman" w:hAnsi="Times New Roman" w:cs="Times New Roman"/>
          <w:sz w:val="24"/>
        </w:rPr>
        <w:t>межотраслевом</w:t>
      </w:r>
      <w:proofErr w:type="gramEnd"/>
      <w:r w:rsidRPr="00197809">
        <w:rPr>
          <w:rFonts w:ascii="Times New Roman" w:hAnsi="Times New Roman" w:cs="Times New Roman"/>
          <w:sz w:val="24"/>
        </w:rPr>
        <w:t xml:space="preserve"> ценовом </w:t>
      </w:r>
      <w:proofErr w:type="spellStart"/>
      <w:r w:rsidRPr="00197809">
        <w:rPr>
          <w:rFonts w:ascii="Times New Roman" w:hAnsi="Times New Roman" w:cs="Times New Roman"/>
          <w:sz w:val="24"/>
        </w:rPr>
        <w:t>диспаритете</w:t>
      </w:r>
      <w:proofErr w:type="spellEnd"/>
      <w:r w:rsidRPr="00197809">
        <w:rPr>
          <w:rFonts w:ascii="Times New Roman" w:hAnsi="Times New Roman" w:cs="Times New Roman"/>
          <w:sz w:val="24"/>
        </w:rPr>
        <w:t xml:space="preserve">. Обеспечение устойчивого развития сельского хозяйства, решение проблем </w:t>
      </w:r>
      <w:proofErr w:type="spellStart"/>
      <w:r w:rsidRPr="00197809">
        <w:rPr>
          <w:rFonts w:ascii="Times New Roman" w:hAnsi="Times New Roman" w:cs="Times New Roman"/>
          <w:sz w:val="24"/>
        </w:rPr>
        <w:t>импортозамещения</w:t>
      </w:r>
      <w:proofErr w:type="spellEnd"/>
      <w:r w:rsidRPr="00197809">
        <w:rPr>
          <w:rFonts w:ascii="Times New Roman" w:hAnsi="Times New Roman" w:cs="Times New Roman"/>
          <w:sz w:val="24"/>
        </w:rPr>
        <w:t xml:space="preserve"> основных продовольственных товаров возможны лишь на основе научно обоснованной экономической политики. Предложены основные направления корректировки экономической политики в аграрном секторе экономики страны.</w:t>
      </w:r>
    </w:p>
    <w:p w:rsidR="00197809" w:rsidRPr="000465E1" w:rsidRDefault="00197809" w:rsidP="00197809">
      <w:pPr>
        <w:pStyle w:val="a3"/>
        <w:jc w:val="center"/>
        <w:rPr>
          <w:rFonts w:ascii="Times New Roman" w:hAnsi="Times New Roman" w:cs="Times New Roman"/>
          <w:sz w:val="24"/>
        </w:rPr>
      </w:pPr>
    </w:p>
    <w:p w:rsidR="000513B8" w:rsidRDefault="000513B8" w:rsidP="00197809">
      <w:pPr>
        <w:pStyle w:val="a3"/>
        <w:jc w:val="center"/>
        <w:rPr>
          <w:rFonts w:ascii="Times New Roman" w:hAnsi="Times New Roman" w:cs="Times New Roman"/>
          <w:b/>
          <w:sz w:val="28"/>
        </w:rPr>
      </w:pPr>
      <w:r>
        <w:rPr>
          <w:rFonts w:ascii="Times New Roman" w:hAnsi="Times New Roman" w:cs="Times New Roman"/>
          <w:b/>
          <w:sz w:val="28"/>
        </w:rPr>
        <w:t>Труд в сельском хозяйстве</w:t>
      </w:r>
    </w:p>
    <w:p w:rsidR="000B576B" w:rsidRPr="000B576B" w:rsidRDefault="000B576B" w:rsidP="000B576B">
      <w:pPr>
        <w:pStyle w:val="a3"/>
        <w:ind w:firstLine="709"/>
        <w:jc w:val="both"/>
        <w:rPr>
          <w:rFonts w:ascii="Times New Roman" w:hAnsi="Times New Roman" w:cs="Times New Roman"/>
          <w:sz w:val="28"/>
        </w:rPr>
      </w:pPr>
      <w:proofErr w:type="spellStart"/>
      <w:r w:rsidRPr="000B576B">
        <w:rPr>
          <w:rFonts w:ascii="Times New Roman" w:hAnsi="Times New Roman" w:cs="Times New Roman"/>
          <w:sz w:val="28"/>
        </w:rPr>
        <w:t>Субаева</w:t>
      </w:r>
      <w:proofErr w:type="spellEnd"/>
      <w:r w:rsidRPr="000B576B">
        <w:rPr>
          <w:rFonts w:ascii="Times New Roman" w:hAnsi="Times New Roman" w:cs="Times New Roman"/>
          <w:sz w:val="28"/>
        </w:rPr>
        <w:t>, А.</w:t>
      </w:r>
      <w:r>
        <w:rPr>
          <w:rFonts w:ascii="Times New Roman" w:hAnsi="Times New Roman" w:cs="Times New Roman"/>
          <w:sz w:val="28"/>
        </w:rPr>
        <w:t xml:space="preserve"> </w:t>
      </w:r>
      <w:r w:rsidRPr="000B576B">
        <w:rPr>
          <w:rFonts w:ascii="Times New Roman" w:hAnsi="Times New Roman" w:cs="Times New Roman"/>
          <w:sz w:val="28"/>
        </w:rPr>
        <w:t>К. Роль технико-технологиче</w:t>
      </w:r>
      <w:r w:rsidR="009452E5">
        <w:rPr>
          <w:rFonts w:ascii="Times New Roman" w:hAnsi="Times New Roman" w:cs="Times New Roman"/>
          <w:sz w:val="28"/>
        </w:rPr>
        <w:t>с</w:t>
      </w:r>
      <w:r w:rsidRPr="000B576B">
        <w:rPr>
          <w:rFonts w:ascii="Times New Roman" w:hAnsi="Times New Roman" w:cs="Times New Roman"/>
          <w:sz w:val="28"/>
        </w:rPr>
        <w:t>кого обеспечения в изменении профессионально-квалификационной структуры рабочей силы в аграрном секторе экономики страны / А.</w:t>
      </w:r>
      <w:r>
        <w:rPr>
          <w:rFonts w:ascii="Times New Roman" w:hAnsi="Times New Roman" w:cs="Times New Roman"/>
          <w:sz w:val="28"/>
        </w:rPr>
        <w:t xml:space="preserve"> </w:t>
      </w:r>
      <w:r w:rsidRPr="000B576B">
        <w:rPr>
          <w:rFonts w:ascii="Times New Roman" w:hAnsi="Times New Roman" w:cs="Times New Roman"/>
          <w:sz w:val="28"/>
        </w:rPr>
        <w:t xml:space="preserve">К. </w:t>
      </w:r>
      <w:proofErr w:type="spellStart"/>
      <w:r w:rsidRPr="000B576B">
        <w:rPr>
          <w:rFonts w:ascii="Times New Roman" w:hAnsi="Times New Roman" w:cs="Times New Roman"/>
          <w:sz w:val="28"/>
        </w:rPr>
        <w:t>Субаева</w:t>
      </w:r>
      <w:proofErr w:type="spellEnd"/>
      <w:r w:rsidRPr="000B576B">
        <w:rPr>
          <w:rFonts w:ascii="Times New Roman" w:hAnsi="Times New Roman" w:cs="Times New Roman"/>
          <w:sz w:val="28"/>
        </w:rPr>
        <w:t>, Н.</w:t>
      </w:r>
      <w:r>
        <w:rPr>
          <w:rFonts w:ascii="Times New Roman" w:hAnsi="Times New Roman" w:cs="Times New Roman"/>
          <w:sz w:val="28"/>
        </w:rPr>
        <w:t xml:space="preserve"> </w:t>
      </w:r>
      <w:r w:rsidRPr="000B576B">
        <w:rPr>
          <w:rFonts w:ascii="Times New Roman" w:hAnsi="Times New Roman" w:cs="Times New Roman"/>
          <w:sz w:val="28"/>
        </w:rPr>
        <w:t>Р.</w:t>
      </w:r>
      <w:r>
        <w:rPr>
          <w:rFonts w:ascii="Times New Roman" w:hAnsi="Times New Roman" w:cs="Times New Roman"/>
          <w:sz w:val="28"/>
        </w:rPr>
        <w:t xml:space="preserve"> </w:t>
      </w:r>
      <w:r w:rsidRPr="000B576B">
        <w:rPr>
          <w:rFonts w:ascii="Times New Roman" w:hAnsi="Times New Roman" w:cs="Times New Roman"/>
          <w:sz w:val="28"/>
        </w:rPr>
        <w:t>Александрова, Л.</w:t>
      </w:r>
      <w:r>
        <w:rPr>
          <w:rFonts w:ascii="Times New Roman" w:hAnsi="Times New Roman" w:cs="Times New Roman"/>
          <w:sz w:val="28"/>
        </w:rPr>
        <w:t xml:space="preserve"> </w:t>
      </w:r>
      <w:r w:rsidRPr="000B576B">
        <w:rPr>
          <w:rFonts w:ascii="Times New Roman" w:hAnsi="Times New Roman" w:cs="Times New Roman"/>
          <w:sz w:val="28"/>
        </w:rPr>
        <w:t xml:space="preserve">М. </w:t>
      </w:r>
      <w:proofErr w:type="spellStart"/>
      <w:r w:rsidRPr="000B576B">
        <w:rPr>
          <w:rFonts w:ascii="Times New Roman" w:hAnsi="Times New Roman" w:cs="Times New Roman"/>
          <w:sz w:val="28"/>
        </w:rPr>
        <w:t>Мавлиева</w:t>
      </w:r>
      <w:proofErr w:type="spellEnd"/>
      <w:r w:rsidRPr="000B576B">
        <w:rPr>
          <w:rFonts w:ascii="Times New Roman" w:hAnsi="Times New Roman" w:cs="Times New Roman"/>
          <w:sz w:val="28"/>
        </w:rPr>
        <w:t xml:space="preserve"> // </w:t>
      </w:r>
      <w:proofErr w:type="spellStart"/>
      <w:r w:rsidRPr="000B576B">
        <w:rPr>
          <w:rFonts w:ascii="Times New Roman" w:hAnsi="Times New Roman" w:cs="Times New Roman"/>
          <w:sz w:val="28"/>
        </w:rPr>
        <w:t>Вестн</w:t>
      </w:r>
      <w:proofErr w:type="spellEnd"/>
      <w:r w:rsidRPr="000B576B">
        <w:rPr>
          <w:rFonts w:ascii="Times New Roman" w:hAnsi="Times New Roman" w:cs="Times New Roman"/>
          <w:sz w:val="28"/>
        </w:rPr>
        <w:t xml:space="preserve">. Казанского гос. </w:t>
      </w:r>
      <w:proofErr w:type="spellStart"/>
      <w:r w:rsidRPr="000B576B">
        <w:rPr>
          <w:rFonts w:ascii="Times New Roman" w:hAnsi="Times New Roman" w:cs="Times New Roman"/>
          <w:sz w:val="28"/>
        </w:rPr>
        <w:t>аграр</w:t>
      </w:r>
      <w:proofErr w:type="spellEnd"/>
      <w:r w:rsidRPr="000B576B">
        <w:rPr>
          <w:rFonts w:ascii="Times New Roman" w:hAnsi="Times New Roman" w:cs="Times New Roman"/>
          <w:sz w:val="28"/>
        </w:rPr>
        <w:t>. ун-та. – 2018. – Т. 13</w:t>
      </w:r>
      <w:r w:rsidR="00366D0D">
        <w:rPr>
          <w:rFonts w:ascii="Times New Roman" w:hAnsi="Times New Roman" w:cs="Times New Roman"/>
          <w:sz w:val="28"/>
        </w:rPr>
        <w:t>,</w:t>
      </w:r>
      <w:r w:rsidRPr="000B576B">
        <w:rPr>
          <w:rFonts w:ascii="Times New Roman" w:hAnsi="Times New Roman" w:cs="Times New Roman"/>
          <w:sz w:val="28"/>
        </w:rPr>
        <w:t xml:space="preserve"> №2. – С. 173–177.</w:t>
      </w:r>
    </w:p>
    <w:p w:rsidR="000B576B" w:rsidRPr="005140D1" w:rsidRDefault="000B576B" w:rsidP="000513B8">
      <w:pPr>
        <w:pStyle w:val="a3"/>
        <w:ind w:firstLine="709"/>
        <w:jc w:val="both"/>
        <w:rPr>
          <w:rFonts w:ascii="Times New Roman" w:eastAsia="Times New Roman" w:hAnsi="Times New Roman" w:cs="Times New Roman"/>
          <w:color w:val="00008F"/>
          <w:sz w:val="24"/>
        </w:rPr>
      </w:pPr>
    </w:p>
    <w:p w:rsidR="000513B8" w:rsidRPr="000513B8" w:rsidRDefault="000513B8" w:rsidP="000513B8">
      <w:pPr>
        <w:pStyle w:val="a3"/>
        <w:ind w:firstLine="709"/>
        <w:jc w:val="both"/>
        <w:rPr>
          <w:rFonts w:ascii="Times New Roman" w:hAnsi="Times New Roman" w:cs="Times New Roman"/>
          <w:sz w:val="28"/>
        </w:rPr>
      </w:pPr>
      <w:r w:rsidRPr="000513B8">
        <w:rPr>
          <w:rFonts w:ascii="Times New Roman" w:hAnsi="Times New Roman" w:cs="Times New Roman"/>
          <w:sz w:val="28"/>
        </w:rPr>
        <w:t xml:space="preserve">Югов, Е. А. Трудовые ресурсы сельского района и их использование / Е. А. Югов // </w:t>
      </w:r>
      <w:proofErr w:type="spellStart"/>
      <w:r w:rsidRPr="000513B8">
        <w:rPr>
          <w:rFonts w:ascii="Times New Roman" w:hAnsi="Times New Roman" w:cs="Times New Roman"/>
          <w:sz w:val="28"/>
        </w:rPr>
        <w:t>Вестн</w:t>
      </w:r>
      <w:proofErr w:type="spellEnd"/>
      <w:r w:rsidRPr="000513B8">
        <w:rPr>
          <w:rFonts w:ascii="Times New Roman" w:hAnsi="Times New Roman" w:cs="Times New Roman"/>
          <w:sz w:val="28"/>
        </w:rPr>
        <w:t xml:space="preserve">. Воронежского гос. </w:t>
      </w:r>
      <w:proofErr w:type="spellStart"/>
      <w:r w:rsidRPr="000513B8">
        <w:rPr>
          <w:rFonts w:ascii="Times New Roman" w:hAnsi="Times New Roman" w:cs="Times New Roman"/>
          <w:sz w:val="28"/>
        </w:rPr>
        <w:t>аграр</w:t>
      </w:r>
      <w:proofErr w:type="spellEnd"/>
      <w:r w:rsidRPr="000513B8">
        <w:rPr>
          <w:rFonts w:ascii="Times New Roman" w:hAnsi="Times New Roman" w:cs="Times New Roman"/>
          <w:sz w:val="28"/>
        </w:rPr>
        <w:t>. ун-та. – 2018. – № 2. – С. 174–185.</w:t>
      </w:r>
    </w:p>
    <w:p w:rsidR="000513B8" w:rsidRDefault="000513B8" w:rsidP="000513B8">
      <w:pPr>
        <w:pStyle w:val="a3"/>
        <w:ind w:firstLine="709"/>
        <w:jc w:val="both"/>
        <w:rPr>
          <w:rFonts w:ascii="Times New Roman" w:hAnsi="Times New Roman" w:cs="Times New Roman"/>
          <w:sz w:val="24"/>
        </w:rPr>
      </w:pPr>
      <w:r w:rsidRPr="000513B8">
        <w:rPr>
          <w:rFonts w:ascii="Times New Roman" w:hAnsi="Times New Roman" w:cs="Times New Roman"/>
          <w:sz w:val="24"/>
        </w:rPr>
        <w:t xml:space="preserve">Представлены результаты изучения состояния и использования трудовых ресурсов сельского муниципального района с использованием статистической информации за 2012-2016 гг. (по материалам </w:t>
      </w:r>
      <w:proofErr w:type="spellStart"/>
      <w:r w:rsidRPr="000513B8">
        <w:rPr>
          <w:rFonts w:ascii="Times New Roman" w:hAnsi="Times New Roman" w:cs="Times New Roman"/>
          <w:sz w:val="24"/>
        </w:rPr>
        <w:t>Воловского</w:t>
      </w:r>
      <w:proofErr w:type="spellEnd"/>
      <w:r w:rsidRPr="000513B8">
        <w:rPr>
          <w:rFonts w:ascii="Times New Roman" w:hAnsi="Times New Roman" w:cs="Times New Roman"/>
          <w:sz w:val="24"/>
        </w:rPr>
        <w:t xml:space="preserve"> района Липецкой области). Отмечается, что убыль населения в районе составила 4,2% (в целом по области - 0,005%), доля жителей в нетрудоспособном возрасте выросла до 51%, а удельный вес трудовых ресурсов уменьшился с 57,5 до 48,8%. Выявлено, что сокращение численности трудовых ресурсов идет более быстрыми темпами, чем численности населения. Это позволило выделить три тенденции, характерные для сельской местности. Несмотря на уменьшение количества трудоспособного населения в районе имеется значительный профицит трудовых ресурсов </w:t>
      </w:r>
      <w:r w:rsidRPr="000513B8">
        <w:rPr>
          <w:rFonts w:ascii="Times New Roman" w:hAnsi="Times New Roman" w:cs="Times New Roman"/>
          <w:sz w:val="24"/>
        </w:rPr>
        <w:lastRenderedPageBreak/>
        <w:t xml:space="preserve">- 28,1% в 2016 г. На сегодняшний день их можно рассматривать как резерв экономического развития района. На рынке труда основным работодателем остается государство, обеспечивающее 36,0% всех рабочих мест. Частный капитал не проявляет большой активности и пока не восполняет сокращающиеся рабочие места путем создания </w:t>
      </w:r>
      <w:proofErr w:type="gramStart"/>
      <w:r w:rsidRPr="000513B8">
        <w:rPr>
          <w:rFonts w:ascii="Times New Roman" w:hAnsi="Times New Roman" w:cs="Times New Roman"/>
          <w:sz w:val="24"/>
        </w:rPr>
        <w:t>новых</w:t>
      </w:r>
      <w:proofErr w:type="gramEnd"/>
      <w:r w:rsidRPr="000513B8">
        <w:rPr>
          <w:rFonts w:ascii="Times New Roman" w:hAnsi="Times New Roman" w:cs="Times New Roman"/>
          <w:sz w:val="24"/>
        </w:rPr>
        <w:t>. Отсутствие в достаточном количестве рабочих мест в районе, а также малая привлекательность имеющихся по условиям труда и его оплате породили два мощных миграционных процесса: внутреннюю миграцию на постоянное место жительства в город и маятниковую миграцию для работы за пределами района. Оба процесса между собой тесно связаны. В 2016 г. маятниковая миграция охватывала 15,8% всех трудовых ресурсов района. Острой проблемой для района остается незанятое население, которое можно разделить на две группы: нигде не занятых в экономике и занятых в домашнем хозяйстве производством продукции для реализации. Показано, что уровень реальной безработицы по отдельным сельским поселениям колеблется от 15,8 до 42,0%.</w:t>
      </w:r>
    </w:p>
    <w:p w:rsidR="000513B8" w:rsidRPr="000513B8" w:rsidRDefault="000513B8" w:rsidP="000513B8">
      <w:pPr>
        <w:pStyle w:val="a3"/>
        <w:ind w:firstLine="709"/>
        <w:jc w:val="both"/>
        <w:rPr>
          <w:rFonts w:ascii="Times New Roman" w:hAnsi="Times New Roman" w:cs="Times New Roman"/>
          <w:sz w:val="24"/>
        </w:rPr>
      </w:pPr>
    </w:p>
    <w:p w:rsidR="00D97645" w:rsidRDefault="00D97645" w:rsidP="00197809">
      <w:pPr>
        <w:pStyle w:val="a3"/>
        <w:jc w:val="center"/>
        <w:rPr>
          <w:rFonts w:ascii="Times New Roman" w:hAnsi="Times New Roman" w:cs="Times New Roman"/>
          <w:b/>
          <w:sz w:val="28"/>
        </w:rPr>
      </w:pPr>
      <w:r>
        <w:rPr>
          <w:rFonts w:ascii="Times New Roman" w:hAnsi="Times New Roman" w:cs="Times New Roman"/>
          <w:b/>
          <w:sz w:val="28"/>
        </w:rPr>
        <w:t>Производственный потенциал сельского хозяйства</w:t>
      </w:r>
    </w:p>
    <w:p w:rsidR="00AD5D25" w:rsidRPr="00AD5D25" w:rsidRDefault="00AD5D25" w:rsidP="00AD5D25">
      <w:pPr>
        <w:pStyle w:val="a3"/>
        <w:ind w:firstLine="709"/>
        <w:jc w:val="both"/>
        <w:rPr>
          <w:rFonts w:ascii="Times New Roman" w:hAnsi="Times New Roman" w:cs="Times New Roman"/>
          <w:sz w:val="28"/>
        </w:rPr>
      </w:pPr>
      <w:r w:rsidRPr="00AD5D25">
        <w:rPr>
          <w:rFonts w:ascii="Times New Roman" w:hAnsi="Times New Roman" w:cs="Times New Roman"/>
          <w:sz w:val="28"/>
        </w:rPr>
        <w:t xml:space="preserve">Мяло, О. В. Анализ формирования системы обслуживания машин на предприятиях АПК Омской области / О. В. Мяло, А. А. </w:t>
      </w:r>
      <w:proofErr w:type="spellStart"/>
      <w:r w:rsidRPr="00AD5D25">
        <w:rPr>
          <w:rFonts w:ascii="Times New Roman" w:hAnsi="Times New Roman" w:cs="Times New Roman"/>
          <w:sz w:val="28"/>
        </w:rPr>
        <w:t>Лучинович</w:t>
      </w:r>
      <w:proofErr w:type="spellEnd"/>
      <w:r w:rsidRPr="00AD5D25">
        <w:rPr>
          <w:rFonts w:ascii="Times New Roman" w:hAnsi="Times New Roman" w:cs="Times New Roman"/>
          <w:sz w:val="28"/>
        </w:rPr>
        <w:t xml:space="preserve"> // </w:t>
      </w:r>
      <w:proofErr w:type="spellStart"/>
      <w:r w:rsidRPr="00AD5D25">
        <w:rPr>
          <w:rFonts w:ascii="Times New Roman" w:hAnsi="Times New Roman" w:cs="Times New Roman"/>
          <w:sz w:val="28"/>
        </w:rPr>
        <w:t>Вестн</w:t>
      </w:r>
      <w:proofErr w:type="spellEnd"/>
      <w:r w:rsidRPr="00AD5D25">
        <w:rPr>
          <w:rFonts w:ascii="Times New Roman" w:hAnsi="Times New Roman" w:cs="Times New Roman"/>
          <w:sz w:val="28"/>
        </w:rPr>
        <w:t xml:space="preserve">. Омского гос. </w:t>
      </w:r>
      <w:proofErr w:type="spellStart"/>
      <w:r w:rsidRPr="00AD5D25">
        <w:rPr>
          <w:rFonts w:ascii="Times New Roman" w:hAnsi="Times New Roman" w:cs="Times New Roman"/>
          <w:sz w:val="28"/>
        </w:rPr>
        <w:t>аграр</w:t>
      </w:r>
      <w:proofErr w:type="spellEnd"/>
      <w:r w:rsidRPr="00AD5D25">
        <w:rPr>
          <w:rFonts w:ascii="Times New Roman" w:hAnsi="Times New Roman" w:cs="Times New Roman"/>
          <w:sz w:val="28"/>
        </w:rPr>
        <w:t>. ун-та. – 2018. – № 2. – С. 115–123.</w:t>
      </w:r>
    </w:p>
    <w:p w:rsidR="00AD5D25" w:rsidRPr="00366D0D" w:rsidRDefault="00AD5D25" w:rsidP="00D97645">
      <w:pPr>
        <w:pStyle w:val="a3"/>
        <w:ind w:firstLine="709"/>
        <w:jc w:val="both"/>
        <w:rPr>
          <w:rFonts w:ascii="Times New Roman" w:eastAsia="Times New Roman" w:hAnsi="Times New Roman" w:cs="Times New Roman"/>
          <w:color w:val="00008F"/>
          <w:sz w:val="24"/>
          <w:lang w:val="en-US"/>
        </w:rPr>
      </w:pPr>
    </w:p>
    <w:p w:rsidR="00D97645" w:rsidRPr="00D97645" w:rsidRDefault="00D97645" w:rsidP="00D97645">
      <w:pPr>
        <w:pStyle w:val="a3"/>
        <w:ind w:firstLine="709"/>
        <w:jc w:val="both"/>
        <w:rPr>
          <w:rFonts w:ascii="Times New Roman" w:hAnsi="Times New Roman" w:cs="Times New Roman"/>
          <w:sz w:val="28"/>
        </w:rPr>
      </w:pPr>
      <w:r w:rsidRPr="00D97645">
        <w:rPr>
          <w:rFonts w:ascii="Times New Roman" w:hAnsi="Times New Roman" w:cs="Times New Roman"/>
          <w:sz w:val="28"/>
        </w:rPr>
        <w:t>Тарасов, А. Н. Техническая модернизация сельскохозяйственного производства: проблемы и пути их решения / А. Н. Тарасов, М. А. Холодова // Экономика с</w:t>
      </w:r>
      <w:r>
        <w:rPr>
          <w:rFonts w:ascii="Times New Roman" w:hAnsi="Times New Roman" w:cs="Times New Roman"/>
          <w:sz w:val="28"/>
        </w:rPr>
        <w:t>.-</w:t>
      </w:r>
      <w:r w:rsidRPr="00D97645">
        <w:rPr>
          <w:rFonts w:ascii="Times New Roman" w:hAnsi="Times New Roman" w:cs="Times New Roman"/>
          <w:sz w:val="28"/>
        </w:rPr>
        <w:t>х</w:t>
      </w:r>
      <w:r>
        <w:rPr>
          <w:rFonts w:ascii="Times New Roman" w:hAnsi="Times New Roman" w:cs="Times New Roman"/>
          <w:sz w:val="28"/>
        </w:rPr>
        <w:t>.</w:t>
      </w:r>
      <w:r w:rsidRPr="00D97645">
        <w:rPr>
          <w:rFonts w:ascii="Times New Roman" w:hAnsi="Times New Roman" w:cs="Times New Roman"/>
          <w:sz w:val="28"/>
        </w:rPr>
        <w:t xml:space="preserve"> и </w:t>
      </w:r>
      <w:proofErr w:type="spellStart"/>
      <w:r w:rsidRPr="00D97645">
        <w:rPr>
          <w:rFonts w:ascii="Times New Roman" w:hAnsi="Times New Roman" w:cs="Times New Roman"/>
          <w:sz w:val="28"/>
        </w:rPr>
        <w:t>перерабат</w:t>
      </w:r>
      <w:proofErr w:type="spellEnd"/>
      <w:r>
        <w:rPr>
          <w:rFonts w:ascii="Times New Roman" w:hAnsi="Times New Roman" w:cs="Times New Roman"/>
          <w:sz w:val="28"/>
        </w:rPr>
        <w:t>.</w:t>
      </w:r>
      <w:r w:rsidRPr="00D97645">
        <w:rPr>
          <w:rFonts w:ascii="Times New Roman" w:hAnsi="Times New Roman" w:cs="Times New Roman"/>
          <w:sz w:val="28"/>
        </w:rPr>
        <w:t xml:space="preserve"> предприятий. </w:t>
      </w:r>
      <w:r>
        <w:rPr>
          <w:rFonts w:ascii="Times New Roman" w:hAnsi="Times New Roman" w:cs="Times New Roman"/>
          <w:sz w:val="28"/>
        </w:rPr>
        <w:t>– 2018. –</w:t>
      </w:r>
      <w:r w:rsidRPr="00D97645">
        <w:rPr>
          <w:rFonts w:ascii="Times New Roman" w:hAnsi="Times New Roman" w:cs="Times New Roman"/>
          <w:sz w:val="28"/>
        </w:rPr>
        <w:t xml:space="preserve"> </w:t>
      </w:r>
      <w:r>
        <w:rPr>
          <w:rFonts w:ascii="Times New Roman" w:hAnsi="Times New Roman" w:cs="Times New Roman"/>
          <w:sz w:val="28"/>
        </w:rPr>
        <w:t>№</w:t>
      </w:r>
      <w:r w:rsidRPr="00D97645">
        <w:rPr>
          <w:rFonts w:ascii="Times New Roman" w:hAnsi="Times New Roman" w:cs="Times New Roman"/>
          <w:sz w:val="28"/>
        </w:rPr>
        <w:t xml:space="preserve"> 8</w:t>
      </w:r>
      <w:r>
        <w:rPr>
          <w:rFonts w:ascii="Times New Roman" w:hAnsi="Times New Roman" w:cs="Times New Roman"/>
          <w:sz w:val="28"/>
        </w:rPr>
        <w:t>. – С. 38–</w:t>
      </w:r>
      <w:r w:rsidRPr="00D97645">
        <w:rPr>
          <w:rFonts w:ascii="Times New Roman" w:hAnsi="Times New Roman" w:cs="Times New Roman"/>
          <w:sz w:val="28"/>
        </w:rPr>
        <w:t>45</w:t>
      </w:r>
      <w:proofErr w:type="gramStart"/>
      <w:r w:rsidRPr="00D97645">
        <w:rPr>
          <w:rFonts w:ascii="Times New Roman" w:hAnsi="Times New Roman" w:cs="Times New Roman"/>
          <w:sz w:val="28"/>
        </w:rPr>
        <w:t xml:space="preserve"> :</w:t>
      </w:r>
      <w:proofErr w:type="gramEnd"/>
      <w:r w:rsidRPr="00D97645">
        <w:rPr>
          <w:rFonts w:ascii="Times New Roman" w:hAnsi="Times New Roman" w:cs="Times New Roman"/>
          <w:sz w:val="28"/>
        </w:rPr>
        <w:t xml:space="preserve"> 8 рис., 6 табл.</w:t>
      </w:r>
    </w:p>
    <w:p w:rsidR="00D97645" w:rsidRPr="00D97645" w:rsidRDefault="00D97645" w:rsidP="00D97645">
      <w:pPr>
        <w:pStyle w:val="a3"/>
        <w:ind w:firstLine="709"/>
        <w:jc w:val="both"/>
        <w:rPr>
          <w:rFonts w:ascii="Times New Roman" w:hAnsi="Times New Roman" w:cs="Times New Roman"/>
          <w:sz w:val="24"/>
        </w:rPr>
      </w:pPr>
      <w:r w:rsidRPr="00D97645">
        <w:rPr>
          <w:rFonts w:ascii="Times New Roman" w:hAnsi="Times New Roman" w:cs="Times New Roman"/>
          <w:sz w:val="24"/>
        </w:rPr>
        <w:t xml:space="preserve">В статье дана оценка состояния материально-технического обеспечения аграрного производства России в сравнении с другими странами мира. Изучена динамика обеспеченности регионов страны основными видами сельскохозяйственной техники. Проведен анализ государственной поддержки по направлению технико-технологической модернизации аграрного производства. На материалах Ростовской области рассмотрены особо значимые направления государственной поддержки технико-технологической модернизации сельского хозяйства с целью стимулирования инновационного развития отрасли в условиях политики </w:t>
      </w:r>
      <w:proofErr w:type="spellStart"/>
      <w:r w:rsidRPr="00D97645">
        <w:rPr>
          <w:rFonts w:ascii="Times New Roman" w:hAnsi="Times New Roman" w:cs="Times New Roman"/>
          <w:sz w:val="24"/>
        </w:rPr>
        <w:t>импортозамещения</w:t>
      </w:r>
      <w:proofErr w:type="spellEnd"/>
      <w:r w:rsidRPr="00D97645">
        <w:rPr>
          <w:rFonts w:ascii="Times New Roman" w:hAnsi="Times New Roman" w:cs="Times New Roman"/>
          <w:sz w:val="24"/>
        </w:rPr>
        <w:t>.</w:t>
      </w:r>
    </w:p>
    <w:p w:rsidR="00581A61" w:rsidRDefault="00581A61" w:rsidP="00197809">
      <w:pPr>
        <w:pStyle w:val="a3"/>
        <w:jc w:val="center"/>
        <w:rPr>
          <w:rFonts w:ascii="Times New Roman" w:hAnsi="Times New Roman" w:cs="Times New Roman"/>
          <w:sz w:val="24"/>
        </w:rPr>
      </w:pPr>
    </w:p>
    <w:p w:rsidR="00EC2714" w:rsidRDefault="008A0802" w:rsidP="00EC2714">
      <w:pPr>
        <w:pStyle w:val="a3"/>
        <w:widowControl w:val="0"/>
        <w:ind w:firstLine="709"/>
        <w:jc w:val="center"/>
        <w:rPr>
          <w:rFonts w:ascii="Times New Roman" w:hAnsi="Times New Roman" w:cs="Times New Roman"/>
          <w:b/>
          <w:sz w:val="28"/>
        </w:rPr>
      </w:pPr>
      <w:r w:rsidRPr="008A0802">
        <w:rPr>
          <w:rFonts w:ascii="Times New Roman" w:hAnsi="Times New Roman" w:cs="Times New Roman"/>
          <w:b/>
          <w:sz w:val="28"/>
        </w:rPr>
        <w:t>Земельные фонды и их использование</w:t>
      </w:r>
    </w:p>
    <w:p w:rsidR="008A0802" w:rsidRPr="008A0802" w:rsidRDefault="008A0802" w:rsidP="00EC2714">
      <w:pPr>
        <w:pStyle w:val="a3"/>
        <w:widowControl w:val="0"/>
        <w:ind w:firstLine="709"/>
        <w:jc w:val="both"/>
        <w:rPr>
          <w:rFonts w:ascii="Times New Roman" w:hAnsi="Times New Roman" w:cs="Times New Roman"/>
          <w:sz w:val="28"/>
        </w:rPr>
      </w:pPr>
      <w:r w:rsidRPr="008A0802">
        <w:rPr>
          <w:rFonts w:ascii="Times New Roman" w:hAnsi="Times New Roman" w:cs="Times New Roman"/>
          <w:sz w:val="28"/>
        </w:rPr>
        <w:t xml:space="preserve">Демидов, П. В. Систематизация факторов, определяющих специфику воспроизводства земельных ресурсов сельского хозяйства / П. В. Демидов, А. В. </w:t>
      </w:r>
      <w:proofErr w:type="spellStart"/>
      <w:r w:rsidRPr="008A0802">
        <w:rPr>
          <w:rFonts w:ascii="Times New Roman" w:hAnsi="Times New Roman" w:cs="Times New Roman"/>
          <w:sz w:val="28"/>
        </w:rPr>
        <w:t>Улезько</w:t>
      </w:r>
      <w:proofErr w:type="spellEnd"/>
      <w:r w:rsidRPr="008A0802">
        <w:rPr>
          <w:rFonts w:ascii="Times New Roman" w:hAnsi="Times New Roman" w:cs="Times New Roman"/>
          <w:sz w:val="28"/>
        </w:rPr>
        <w:t xml:space="preserve"> // Экономика с</w:t>
      </w:r>
      <w:r>
        <w:rPr>
          <w:rFonts w:ascii="Times New Roman" w:hAnsi="Times New Roman" w:cs="Times New Roman"/>
          <w:sz w:val="28"/>
        </w:rPr>
        <w:t>.-</w:t>
      </w:r>
      <w:r w:rsidRPr="008A0802">
        <w:rPr>
          <w:rFonts w:ascii="Times New Roman" w:hAnsi="Times New Roman" w:cs="Times New Roman"/>
          <w:sz w:val="28"/>
        </w:rPr>
        <w:t>х</w:t>
      </w:r>
      <w:r>
        <w:rPr>
          <w:rFonts w:ascii="Times New Roman" w:hAnsi="Times New Roman" w:cs="Times New Roman"/>
          <w:sz w:val="28"/>
        </w:rPr>
        <w:t>.</w:t>
      </w:r>
      <w:r w:rsidRPr="008A0802">
        <w:rPr>
          <w:rFonts w:ascii="Times New Roman" w:hAnsi="Times New Roman" w:cs="Times New Roman"/>
          <w:sz w:val="28"/>
        </w:rPr>
        <w:t xml:space="preserve"> и </w:t>
      </w:r>
      <w:proofErr w:type="spellStart"/>
      <w:r w:rsidRPr="008A0802">
        <w:rPr>
          <w:rFonts w:ascii="Times New Roman" w:hAnsi="Times New Roman" w:cs="Times New Roman"/>
          <w:sz w:val="28"/>
        </w:rPr>
        <w:t>перерабат</w:t>
      </w:r>
      <w:proofErr w:type="spellEnd"/>
      <w:r>
        <w:rPr>
          <w:rFonts w:ascii="Times New Roman" w:hAnsi="Times New Roman" w:cs="Times New Roman"/>
          <w:sz w:val="28"/>
        </w:rPr>
        <w:t>.</w:t>
      </w:r>
      <w:r w:rsidRPr="008A0802">
        <w:rPr>
          <w:rFonts w:ascii="Times New Roman" w:hAnsi="Times New Roman" w:cs="Times New Roman"/>
          <w:sz w:val="28"/>
        </w:rPr>
        <w:t xml:space="preserve"> предприятий. </w:t>
      </w:r>
      <w:r>
        <w:rPr>
          <w:rFonts w:ascii="Times New Roman" w:hAnsi="Times New Roman" w:cs="Times New Roman"/>
          <w:sz w:val="28"/>
        </w:rPr>
        <w:t>–</w:t>
      </w:r>
      <w:r w:rsidRPr="008A0802">
        <w:rPr>
          <w:rFonts w:ascii="Times New Roman" w:hAnsi="Times New Roman" w:cs="Times New Roman"/>
          <w:sz w:val="28"/>
        </w:rPr>
        <w:t xml:space="preserve"> 2018. </w:t>
      </w:r>
      <w:r>
        <w:rPr>
          <w:rFonts w:ascii="Times New Roman" w:hAnsi="Times New Roman" w:cs="Times New Roman"/>
          <w:sz w:val="28"/>
        </w:rPr>
        <w:t>– №</w:t>
      </w:r>
      <w:r w:rsidRPr="008A0802">
        <w:rPr>
          <w:rFonts w:ascii="Times New Roman" w:hAnsi="Times New Roman" w:cs="Times New Roman"/>
          <w:sz w:val="28"/>
        </w:rPr>
        <w:t xml:space="preserve"> 6. </w:t>
      </w:r>
      <w:r>
        <w:rPr>
          <w:rFonts w:ascii="Times New Roman" w:hAnsi="Times New Roman" w:cs="Times New Roman"/>
          <w:sz w:val="28"/>
        </w:rPr>
        <w:t>–</w:t>
      </w:r>
      <w:r w:rsidRPr="008A0802">
        <w:rPr>
          <w:rFonts w:ascii="Times New Roman" w:hAnsi="Times New Roman" w:cs="Times New Roman"/>
          <w:sz w:val="28"/>
        </w:rPr>
        <w:t xml:space="preserve"> С. 47</w:t>
      </w:r>
      <w:r>
        <w:rPr>
          <w:rFonts w:ascii="Times New Roman" w:hAnsi="Times New Roman" w:cs="Times New Roman"/>
          <w:sz w:val="28"/>
        </w:rPr>
        <w:t>–</w:t>
      </w:r>
      <w:r w:rsidRPr="008A0802">
        <w:rPr>
          <w:rFonts w:ascii="Times New Roman" w:hAnsi="Times New Roman" w:cs="Times New Roman"/>
          <w:sz w:val="28"/>
        </w:rPr>
        <w:t>49</w:t>
      </w:r>
      <w:proofErr w:type="gramStart"/>
      <w:r w:rsidRPr="008A0802">
        <w:rPr>
          <w:rFonts w:ascii="Times New Roman" w:hAnsi="Times New Roman" w:cs="Times New Roman"/>
          <w:sz w:val="28"/>
        </w:rPr>
        <w:t xml:space="preserve"> :</w:t>
      </w:r>
      <w:proofErr w:type="gramEnd"/>
      <w:r w:rsidRPr="008A0802">
        <w:rPr>
          <w:rFonts w:ascii="Times New Roman" w:hAnsi="Times New Roman" w:cs="Times New Roman"/>
          <w:sz w:val="28"/>
        </w:rPr>
        <w:t xml:space="preserve"> рис. </w:t>
      </w:r>
    </w:p>
    <w:p w:rsidR="008A0802" w:rsidRDefault="008A0802" w:rsidP="008A0802">
      <w:pPr>
        <w:pStyle w:val="a3"/>
        <w:ind w:firstLine="709"/>
        <w:jc w:val="both"/>
        <w:rPr>
          <w:rFonts w:ascii="Times New Roman" w:hAnsi="Times New Roman" w:cs="Times New Roman"/>
          <w:sz w:val="24"/>
        </w:rPr>
      </w:pPr>
      <w:r w:rsidRPr="008A0802">
        <w:rPr>
          <w:rFonts w:ascii="Times New Roman" w:hAnsi="Times New Roman" w:cs="Times New Roman"/>
          <w:sz w:val="24"/>
        </w:rPr>
        <w:t>В статье раскрываются сущность процессов воспроизводства земельных ресурсов сельскохозяйственного назначения и их содержание на разных стадиях воспроизводственного процесса. Приводятся результаты систематизации факторов, определяющих специфику организации воспроизводственных процессов в разрезе природно-климатических и географических, организационно-экономических, агротехнических и агрохимических факторов. Формулируются положения, лежащие в основе организации управления воспроизводством продуктивных земель.</w:t>
      </w:r>
    </w:p>
    <w:p w:rsidR="0027448E" w:rsidRDefault="0027448E" w:rsidP="008A0802">
      <w:pPr>
        <w:pStyle w:val="a3"/>
        <w:ind w:firstLine="709"/>
        <w:jc w:val="both"/>
        <w:rPr>
          <w:rFonts w:ascii="Times New Roman" w:hAnsi="Times New Roman" w:cs="Times New Roman"/>
          <w:sz w:val="24"/>
        </w:rPr>
      </w:pPr>
    </w:p>
    <w:p w:rsidR="0027448E" w:rsidRPr="0027448E" w:rsidRDefault="0027448E" w:rsidP="0027448E">
      <w:pPr>
        <w:pStyle w:val="a3"/>
        <w:ind w:firstLine="709"/>
        <w:jc w:val="both"/>
        <w:rPr>
          <w:rFonts w:ascii="Times New Roman" w:hAnsi="Times New Roman" w:cs="Times New Roman"/>
          <w:sz w:val="28"/>
        </w:rPr>
      </w:pPr>
      <w:r w:rsidRPr="0027448E">
        <w:rPr>
          <w:rFonts w:ascii="Times New Roman" w:hAnsi="Times New Roman" w:cs="Times New Roman"/>
          <w:sz w:val="28"/>
        </w:rPr>
        <w:t xml:space="preserve">Демидов, П. В. Стратегическое управление землями сельскохозяйственного назначения: сущность, принципы и оценка эффективности / П. В. Демидов, А. В. </w:t>
      </w:r>
      <w:proofErr w:type="spellStart"/>
      <w:r w:rsidRPr="0027448E">
        <w:rPr>
          <w:rFonts w:ascii="Times New Roman" w:hAnsi="Times New Roman" w:cs="Times New Roman"/>
          <w:sz w:val="28"/>
        </w:rPr>
        <w:t>Улезько</w:t>
      </w:r>
      <w:proofErr w:type="spellEnd"/>
      <w:r w:rsidRPr="0027448E">
        <w:rPr>
          <w:rFonts w:ascii="Times New Roman" w:hAnsi="Times New Roman" w:cs="Times New Roman"/>
          <w:sz w:val="28"/>
        </w:rPr>
        <w:t xml:space="preserve"> // </w:t>
      </w:r>
      <w:proofErr w:type="spellStart"/>
      <w:r w:rsidRPr="0027448E">
        <w:rPr>
          <w:rFonts w:ascii="Times New Roman" w:hAnsi="Times New Roman" w:cs="Times New Roman"/>
          <w:sz w:val="28"/>
        </w:rPr>
        <w:t>Вестн</w:t>
      </w:r>
      <w:proofErr w:type="spellEnd"/>
      <w:r w:rsidRPr="0027448E">
        <w:rPr>
          <w:rFonts w:ascii="Times New Roman" w:hAnsi="Times New Roman" w:cs="Times New Roman"/>
          <w:sz w:val="28"/>
        </w:rPr>
        <w:t xml:space="preserve">. Воронежского гос. </w:t>
      </w:r>
      <w:proofErr w:type="spellStart"/>
      <w:r w:rsidRPr="0027448E">
        <w:rPr>
          <w:rFonts w:ascii="Times New Roman" w:hAnsi="Times New Roman" w:cs="Times New Roman"/>
          <w:sz w:val="28"/>
        </w:rPr>
        <w:t>аграр</w:t>
      </w:r>
      <w:proofErr w:type="spellEnd"/>
      <w:r w:rsidRPr="0027448E">
        <w:rPr>
          <w:rFonts w:ascii="Times New Roman" w:hAnsi="Times New Roman" w:cs="Times New Roman"/>
          <w:sz w:val="28"/>
        </w:rPr>
        <w:t>. ун-та. – 2018. – № 2. – С. 237–247.</w:t>
      </w:r>
    </w:p>
    <w:p w:rsidR="008A0802" w:rsidRDefault="0027448E" w:rsidP="0027448E">
      <w:pPr>
        <w:pStyle w:val="a3"/>
        <w:ind w:firstLine="709"/>
        <w:jc w:val="both"/>
        <w:rPr>
          <w:rFonts w:ascii="Times New Roman" w:eastAsia="Calibri" w:hAnsi="Times New Roman" w:cs="Times New Roman"/>
          <w:color w:val="000000"/>
          <w:sz w:val="24"/>
          <w:szCs w:val="16"/>
        </w:rPr>
      </w:pPr>
      <w:r w:rsidRPr="0027448E">
        <w:rPr>
          <w:rFonts w:ascii="Times New Roman" w:hAnsi="Times New Roman" w:cs="Times New Roman"/>
          <w:sz w:val="24"/>
        </w:rPr>
        <w:lastRenderedPageBreak/>
        <w:t xml:space="preserve">Раскрывается сущность различных подходов к определению содержания категории «стратегический менеджмент»; </w:t>
      </w:r>
      <w:proofErr w:type="gramStart"/>
      <w:r w:rsidRPr="0027448E">
        <w:rPr>
          <w:rFonts w:ascii="Times New Roman" w:hAnsi="Times New Roman" w:cs="Times New Roman"/>
          <w:sz w:val="24"/>
        </w:rPr>
        <w:t>обосновывается совокупность принципов организации стратегического управления земельными ресурсами, обеспечивающих адекватность формируемой системы управления поставленным перед ней целям и задачам (системности, единства и целостности, целенаправленности, иерархичности, адаптивности, эволюции, оптимальной сбалансированности, достоверности и научной обоснованности, сценарного развития, приоритетности государственного управления, дифференциации земель как объекта управления, согласованности управления территориальным развитием и использования земельных ресурсов, рациональности и экономической целесообразности);</w:t>
      </w:r>
      <w:proofErr w:type="gramEnd"/>
      <w:r w:rsidRPr="0027448E">
        <w:rPr>
          <w:rFonts w:ascii="Times New Roman" w:hAnsi="Times New Roman" w:cs="Times New Roman"/>
          <w:sz w:val="24"/>
        </w:rPr>
        <w:t xml:space="preserve"> </w:t>
      </w:r>
      <w:proofErr w:type="gramStart"/>
      <w:r w:rsidRPr="0027448E">
        <w:rPr>
          <w:rFonts w:ascii="Times New Roman" w:hAnsi="Times New Roman" w:cs="Times New Roman"/>
          <w:sz w:val="24"/>
        </w:rPr>
        <w:t>делается вывод о том, что нарушение данных принципов ведет к разбалансированию системы управления земельными ресурсами, повышению фрагментарности управляющего воздействия органов управления различного уровня на субъекты земельных отношений, возникновению противоречий между государством, собственниками, владельцами и пользователями земель; утверждается, что в качестве объектов стратегического управления, как правило, выделяют саму социально-экономическую систему как территориально локализованный производственный комплекс;</w:t>
      </w:r>
      <w:proofErr w:type="gramEnd"/>
      <w:r w:rsidRPr="0027448E">
        <w:rPr>
          <w:rFonts w:ascii="Times New Roman" w:hAnsi="Times New Roman" w:cs="Times New Roman"/>
          <w:sz w:val="24"/>
        </w:rPr>
        <w:t xml:space="preserve"> отдельные ее сегменты, определяемые в качестве так называемых стратегических полей деятельности и отдельные функциональные сферы деятельности (бизнес-процессы или относительно обособленные функции, связанные с обеспечением функционирования системы, в том числе с ее ресурсным обеспечением); формулируются положения, определяющие концепцию формирования и развития системы стратегического управления землями сельскохозяйственного назначения, особенности ее организации, связанные со спецификой земельных ресурсов как фактора производства, с разграничением полномочий и функций органов управления различных уровней, различием стратегических целей управления; описывается система показателей для оценки</w:t>
      </w:r>
      <w:r w:rsidRPr="0027448E">
        <w:rPr>
          <w:rFonts w:ascii="Times New Roman" w:eastAsia="Calibri" w:hAnsi="Times New Roman" w:cs="Times New Roman"/>
          <w:color w:val="000000"/>
          <w:sz w:val="18"/>
          <w:szCs w:val="16"/>
        </w:rPr>
        <w:t xml:space="preserve"> </w:t>
      </w:r>
      <w:r w:rsidRPr="00BD278D">
        <w:rPr>
          <w:rFonts w:ascii="Times New Roman" w:eastAsia="Calibri" w:hAnsi="Times New Roman" w:cs="Times New Roman"/>
          <w:color w:val="000000"/>
          <w:sz w:val="24"/>
          <w:szCs w:val="16"/>
        </w:rPr>
        <w:t>эффективности системы управления землями сельскохозяйственного назначения.</w:t>
      </w:r>
    </w:p>
    <w:p w:rsidR="00BD278D" w:rsidRDefault="00BD278D" w:rsidP="0027448E">
      <w:pPr>
        <w:pStyle w:val="a3"/>
        <w:ind w:firstLine="709"/>
        <w:jc w:val="both"/>
        <w:rPr>
          <w:rFonts w:ascii="Times New Roman" w:eastAsia="Calibri" w:hAnsi="Times New Roman" w:cs="Times New Roman"/>
          <w:color w:val="000000"/>
          <w:sz w:val="24"/>
          <w:szCs w:val="16"/>
        </w:rPr>
      </w:pPr>
    </w:p>
    <w:p w:rsidR="00B73920" w:rsidRDefault="00B73920" w:rsidP="00B73920">
      <w:pPr>
        <w:pStyle w:val="a3"/>
        <w:ind w:firstLine="724"/>
        <w:jc w:val="both"/>
        <w:rPr>
          <w:rFonts w:ascii="Times New Roman" w:hAnsi="Times New Roman" w:cs="Times New Roman"/>
          <w:sz w:val="28"/>
        </w:rPr>
      </w:pPr>
      <w:proofErr w:type="spellStart"/>
      <w:r w:rsidRPr="00BD278D">
        <w:rPr>
          <w:rFonts w:ascii="Times New Roman" w:hAnsi="Times New Roman" w:cs="Times New Roman"/>
          <w:sz w:val="28"/>
        </w:rPr>
        <w:t>Постолов</w:t>
      </w:r>
      <w:proofErr w:type="spellEnd"/>
      <w:r w:rsidRPr="00BD278D">
        <w:rPr>
          <w:rFonts w:ascii="Times New Roman" w:hAnsi="Times New Roman" w:cs="Times New Roman"/>
          <w:sz w:val="28"/>
        </w:rPr>
        <w:t xml:space="preserve">, В. Д. Землеустройство в системе эффективного механизма использования и охраны земель / В. Д. </w:t>
      </w:r>
      <w:proofErr w:type="spellStart"/>
      <w:r w:rsidRPr="00BD278D">
        <w:rPr>
          <w:rFonts w:ascii="Times New Roman" w:hAnsi="Times New Roman" w:cs="Times New Roman"/>
          <w:sz w:val="28"/>
        </w:rPr>
        <w:t>Постолов</w:t>
      </w:r>
      <w:proofErr w:type="spellEnd"/>
      <w:r w:rsidRPr="00BD278D">
        <w:rPr>
          <w:rFonts w:ascii="Times New Roman" w:hAnsi="Times New Roman" w:cs="Times New Roman"/>
          <w:sz w:val="28"/>
        </w:rPr>
        <w:t xml:space="preserve">, О. С. Барышникова // </w:t>
      </w:r>
      <w:proofErr w:type="spellStart"/>
      <w:r w:rsidRPr="00BD278D">
        <w:rPr>
          <w:rFonts w:ascii="Times New Roman" w:hAnsi="Times New Roman" w:cs="Times New Roman"/>
          <w:sz w:val="28"/>
        </w:rPr>
        <w:t>Вестн</w:t>
      </w:r>
      <w:proofErr w:type="spellEnd"/>
      <w:r w:rsidRPr="00BD278D">
        <w:rPr>
          <w:rFonts w:ascii="Times New Roman" w:hAnsi="Times New Roman" w:cs="Times New Roman"/>
          <w:sz w:val="28"/>
        </w:rPr>
        <w:t xml:space="preserve">. Воронежского гос. </w:t>
      </w:r>
      <w:proofErr w:type="spellStart"/>
      <w:r w:rsidRPr="00BD278D">
        <w:rPr>
          <w:rFonts w:ascii="Times New Roman" w:hAnsi="Times New Roman" w:cs="Times New Roman"/>
          <w:sz w:val="28"/>
        </w:rPr>
        <w:t>аграр</w:t>
      </w:r>
      <w:proofErr w:type="spellEnd"/>
      <w:r w:rsidRPr="00BD278D">
        <w:rPr>
          <w:rFonts w:ascii="Times New Roman" w:hAnsi="Times New Roman" w:cs="Times New Roman"/>
          <w:sz w:val="28"/>
        </w:rPr>
        <w:t>. ун-та. – 2018. – № 2. – С. 248–252.</w:t>
      </w:r>
    </w:p>
    <w:p w:rsidR="00BB67E7" w:rsidRDefault="00B73920" w:rsidP="00B73920">
      <w:pPr>
        <w:pStyle w:val="a3"/>
        <w:ind w:firstLine="709"/>
        <w:jc w:val="both"/>
        <w:rPr>
          <w:rFonts w:ascii="Times New Roman" w:hAnsi="Times New Roman" w:cs="Times New Roman"/>
          <w:sz w:val="24"/>
        </w:rPr>
      </w:pPr>
      <w:r w:rsidRPr="00BD278D">
        <w:rPr>
          <w:rFonts w:ascii="Times New Roman" w:hAnsi="Times New Roman" w:cs="Times New Roman"/>
          <w:sz w:val="24"/>
        </w:rPr>
        <w:t xml:space="preserve">При анализе проводимых комплексных мероприятий по организации рационального использования и охране земель выделяются организационно-хозяйственные системные мероприятия, предлагается структура, содержание их при формировании и функционировании земельных участков арендных коллективов и крестьянских хозяйств. </w:t>
      </w:r>
      <w:proofErr w:type="gramStart"/>
      <w:r w:rsidRPr="00BD278D">
        <w:rPr>
          <w:rFonts w:ascii="Times New Roman" w:hAnsi="Times New Roman" w:cs="Times New Roman"/>
          <w:sz w:val="24"/>
        </w:rPr>
        <w:t>Руководителям арендуемых земельных участков, в первую очередь, необходимо для рационального использования и охраны земли решить следующие вопросы: установление объектов с различными видами мелиорации, особенно в части улучшения естественных кормовых угодий; размещение временной и постоянной полевой дорожной сети; проектирование системы адаптивных севооборотов в рамках рыночного землепользования; изменение границ полей, рабочих участков с учетом форм собственности и аренды земли;</w:t>
      </w:r>
      <w:proofErr w:type="gramEnd"/>
      <w:r w:rsidRPr="00BD278D">
        <w:rPr>
          <w:rFonts w:ascii="Times New Roman" w:hAnsi="Times New Roman" w:cs="Times New Roman"/>
          <w:sz w:val="24"/>
        </w:rPr>
        <w:t xml:space="preserve"> установление местоположения полевой инженерной инфраструктуры; закрепление пастбищных участков за выпасными группами скота; размещение индивидуальных хозяйств. Для обеспечения эффективного сельскохозяйственного производства на основе рационального использования и охраны земель нами был выявлен ряд вопросов, требующих научного обоснования, которые характеризуются сроком действия и сгруппированы </w:t>
      </w:r>
      <w:proofErr w:type="gramStart"/>
      <w:r w:rsidRPr="00BD278D">
        <w:rPr>
          <w:rFonts w:ascii="Times New Roman" w:hAnsi="Times New Roman" w:cs="Times New Roman"/>
          <w:sz w:val="24"/>
        </w:rPr>
        <w:t>на</w:t>
      </w:r>
      <w:proofErr w:type="gramEnd"/>
      <w:r w:rsidRPr="00BD278D">
        <w:rPr>
          <w:rFonts w:ascii="Times New Roman" w:hAnsi="Times New Roman" w:cs="Times New Roman"/>
          <w:sz w:val="24"/>
        </w:rPr>
        <w:t xml:space="preserve"> оперативные, текущие и перспективные. </w:t>
      </w:r>
      <w:proofErr w:type="gramStart"/>
      <w:r w:rsidRPr="00BD278D">
        <w:rPr>
          <w:rFonts w:ascii="Times New Roman" w:hAnsi="Times New Roman" w:cs="Times New Roman"/>
          <w:sz w:val="24"/>
        </w:rPr>
        <w:t xml:space="preserve">Арендным коллективам и арендодателям рекомендуется вести специальный технический кадастровый паспорт и дорожную карту с использованием различных планово-картографических материалов, включающих: почвенную карту, картограммы, характеризующие качество земельных участков по содержанию элементов питания, с учетом засоленности, содержания гумуса, мощности гумусового горизонта и т. </w:t>
      </w:r>
      <w:r w:rsidRPr="00BD278D">
        <w:rPr>
          <w:rFonts w:ascii="Times New Roman" w:hAnsi="Times New Roman" w:cs="Times New Roman"/>
          <w:sz w:val="24"/>
        </w:rPr>
        <w:lastRenderedPageBreak/>
        <w:t>д. Для эффективного использования и охраны земель одним из важных документов должен быть разработанный проект землеустройства на арендованные земли, а</w:t>
      </w:r>
      <w:proofErr w:type="gramEnd"/>
      <w:r w:rsidRPr="00BD278D">
        <w:rPr>
          <w:rFonts w:ascii="Times New Roman" w:hAnsi="Times New Roman" w:cs="Times New Roman"/>
          <w:sz w:val="24"/>
        </w:rPr>
        <w:t xml:space="preserve"> также крестьянские фермерские хозяйства и т.д.</w:t>
      </w:r>
    </w:p>
    <w:p w:rsidR="00B47302" w:rsidRPr="00B47302" w:rsidRDefault="00B47302" w:rsidP="00B73920">
      <w:pPr>
        <w:pStyle w:val="a3"/>
        <w:ind w:firstLine="709"/>
        <w:jc w:val="both"/>
        <w:rPr>
          <w:rFonts w:ascii="Times New Roman" w:hAnsi="Times New Roman" w:cs="Times New Roman"/>
          <w:sz w:val="24"/>
        </w:rPr>
      </w:pPr>
    </w:p>
    <w:p w:rsidR="00BB67E7" w:rsidRDefault="00B47302" w:rsidP="00B47302">
      <w:pPr>
        <w:pStyle w:val="a3"/>
        <w:ind w:firstLine="709"/>
        <w:jc w:val="both"/>
        <w:rPr>
          <w:rFonts w:ascii="Times New Roman" w:hAnsi="Times New Roman" w:cs="Times New Roman"/>
          <w:sz w:val="28"/>
        </w:rPr>
      </w:pPr>
      <w:r w:rsidRPr="00B47302">
        <w:rPr>
          <w:rFonts w:ascii="Times New Roman" w:hAnsi="Times New Roman" w:cs="Times New Roman"/>
          <w:sz w:val="28"/>
        </w:rPr>
        <w:t>Система управления земельными ресурсами Кыргызской республики: вчера, сегодня, завтра / В.</w:t>
      </w:r>
      <w:r>
        <w:rPr>
          <w:rFonts w:ascii="Times New Roman" w:hAnsi="Times New Roman" w:cs="Times New Roman"/>
          <w:sz w:val="28"/>
        </w:rPr>
        <w:t xml:space="preserve"> </w:t>
      </w:r>
      <w:r w:rsidRPr="00B47302">
        <w:rPr>
          <w:rFonts w:ascii="Times New Roman" w:hAnsi="Times New Roman" w:cs="Times New Roman"/>
          <w:sz w:val="28"/>
        </w:rPr>
        <w:t xml:space="preserve">В. Денисов </w:t>
      </w:r>
      <w:r w:rsidRPr="00F837B7">
        <w:rPr>
          <w:rFonts w:ascii="Times New Roman" w:hAnsi="Times New Roman" w:cs="Times New Roman"/>
          <w:sz w:val="28"/>
        </w:rPr>
        <w:t xml:space="preserve">[и др.] </w:t>
      </w:r>
      <w:r w:rsidRPr="00B47302">
        <w:rPr>
          <w:rFonts w:ascii="Times New Roman" w:hAnsi="Times New Roman" w:cs="Times New Roman"/>
          <w:sz w:val="28"/>
        </w:rPr>
        <w:t xml:space="preserve">// </w:t>
      </w:r>
      <w:proofErr w:type="spellStart"/>
      <w:r w:rsidRPr="00B47302">
        <w:rPr>
          <w:rFonts w:ascii="Times New Roman" w:hAnsi="Times New Roman" w:cs="Times New Roman"/>
          <w:sz w:val="28"/>
        </w:rPr>
        <w:t>Вестн</w:t>
      </w:r>
      <w:proofErr w:type="spellEnd"/>
      <w:r w:rsidRPr="00B47302">
        <w:rPr>
          <w:rFonts w:ascii="Times New Roman" w:hAnsi="Times New Roman" w:cs="Times New Roman"/>
          <w:sz w:val="28"/>
        </w:rPr>
        <w:t xml:space="preserve">. Кыргызского нац. </w:t>
      </w:r>
      <w:proofErr w:type="spellStart"/>
      <w:r w:rsidRPr="00B47302">
        <w:rPr>
          <w:rFonts w:ascii="Times New Roman" w:hAnsi="Times New Roman" w:cs="Times New Roman"/>
          <w:sz w:val="28"/>
        </w:rPr>
        <w:t>аграр</w:t>
      </w:r>
      <w:proofErr w:type="spellEnd"/>
      <w:r w:rsidRPr="00B47302">
        <w:rPr>
          <w:rFonts w:ascii="Times New Roman" w:hAnsi="Times New Roman" w:cs="Times New Roman"/>
          <w:sz w:val="28"/>
        </w:rPr>
        <w:t xml:space="preserve">. ун-та им. К.И. Скрябина. </w:t>
      </w:r>
      <w:r w:rsidR="008A6958">
        <w:rPr>
          <w:rFonts w:ascii="Times New Roman" w:hAnsi="Times New Roman" w:cs="Times New Roman"/>
          <w:sz w:val="28"/>
        </w:rPr>
        <w:t xml:space="preserve">– </w:t>
      </w:r>
      <w:r w:rsidRPr="00B47302">
        <w:rPr>
          <w:rFonts w:ascii="Times New Roman" w:hAnsi="Times New Roman" w:cs="Times New Roman"/>
          <w:sz w:val="28"/>
        </w:rPr>
        <w:t>2018. – № 2. – С. 314–319.</w:t>
      </w:r>
    </w:p>
    <w:p w:rsidR="00B47302" w:rsidRPr="00366D0D" w:rsidRDefault="00B47302" w:rsidP="00B47302">
      <w:pPr>
        <w:pStyle w:val="a3"/>
        <w:ind w:firstLine="709"/>
        <w:jc w:val="both"/>
        <w:rPr>
          <w:rFonts w:ascii="Times New Roman" w:hAnsi="Times New Roman" w:cs="Times New Roman"/>
          <w:sz w:val="24"/>
        </w:rPr>
      </w:pPr>
    </w:p>
    <w:p w:rsidR="000D696E" w:rsidRPr="000D696E" w:rsidRDefault="000D696E" w:rsidP="000D696E">
      <w:pPr>
        <w:pStyle w:val="a3"/>
        <w:ind w:firstLine="709"/>
        <w:jc w:val="center"/>
        <w:rPr>
          <w:rFonts w:ascii="Times New Roman" w:eastAsia="Calibri" w:hAnsi="Times New Roman" w:cs="Times New Roman"/>
          <w:b/>
          <w:color w:val="000000"/>
          <w:sz w:val="28"/>
          <w:szCs w:val="16"/>
        </w:rPr>
      </w:pPr>
      <w:r w:rsidRPr="000D696E">
        <w:rPr>
          <w:rFonts w:ascii="Times New Roman" w:eastAsia="Calibri" w:hAnsi="Times New Roman" w:cs="Times New Roman"/>
          <w:b/>
          <w:color w:val="000000"/>
          <w:sz w:val="28"/>
          <w:szCs w:val="16"/>
        </w:rPr>
        <w:t>Экономика сельскохозяйственных предприятий</w:t>
      </w:r>
    </w:p>
    <w:p w:rsidR="00D74B6D" w:rsidRDefault="00D74B6D" w:rsidP="00D74B6D">
      <w:pPr>
        <w:pStyle w:val="a3"/>
        <w:ind w:firstLine="709"/>
        <w:jc w:val="both"/>
        <w:rPr>
          <w:rFonts w:ascii="Times New Roman" w:hAnsi="Times New Roman" w:cs="Times New Roman"/>
          <w:sz w:val="28"/>
        </w:rPr>
      </w:pPr>
      <w:r>
        <w:rPr>
          <w:rFonts w:ascii="Times New Roman" w:hAnsi="Times New Roman" w:cs="Times New Roman"/>
          <w:sz w:val="28"/>
        </w:rPr>
        <w:t xml:space="preserve">Аскарова, А. А. Совершенствование структуры производства в </w:t>
      </w:r>
      <w:proofErr w:type="spellStart"/>
      <w:r>
        <w:rPr>
          <w:rFonts w:ascii="Times New Roman" w:hAnsi="Times New Roman" w:cs="Times New Roman"/>
          <w:sz w:val="28"/>
        </w:rPr>
        <w:t>аграроформировании</w:t>
      </w:r>
      <w:proofErr w:type="spellEnd"/>
      <w:r>
        <w:rPr>
          <w:rFonts w:ascii="Times New Roman" w:hAnsi="Times New Roman" w:cs="Times New Roman"/>
          <w:sz w:val="28"/>
        </w:rPr>
        <w:t xml:space="preserve"> на основе маржинального анализа / А. А. Аскарова, А. А. </w:t>
      </w:r>
      <w:proofErr w:type="spellStart"/>
      <w:r>
        <w:rPr>
          <w:rFonts w:ascii="Times New Roman" w:hAnsi="Times New Roman" w:cs="Times New Roman"/>
          <w:sz w:val="28"/>
        </w:rPr>
        <w:t>Зайдуллина</w:t>
      </w:r>
      <w:proofErr w:type="spellEnd"/>
      <w:r>
        <w:rPr>
          <w:rFonts w:ascii="Times New Roman" w:hAnsi="Times New Roman" w:cs="Times New Roman"/>
          <w:sz w:val="28"/>
        </w:rPr>
        <w:t xml:space="preserve"> // Экономика с.-х. и </w:t>
      </w:r>
      <w:proofErr w:type="spellStart"/>
      <w:r>
        <w:rPr>
          <w:rFonts w:ascii="Times New Roman" w:hAnsi="Times New Roman" w:cs="Times New Roman"/>
          <w:sz w:val="28"/>
        </w:rPr>
        <w:t>перерабат</w:t>
      </w:r>
      <w:proofErr w:type="spellEnd"/>
      <w:r>
        <w:rPr>
          <w:rFonts w:ascii="Times New Roman" w:hAnsi="Times New Roman" w:cs="Times New Roman"/>
          <w:sz w:val="28"/>
        </w:rPr>
        <w:t>. предприятий. – 2018. – № 8. – С. 34–37</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табл. </w:t>
      </w:r>
    </w:p>
    <w:p w:rsidR="00D74B6D" w:rsidRDefault="00D74B6D" w:rsidP="00D74B6D">
      <w:pPr>
        <w:pStyle w:val="a3"/>
        <w:ind w:firstLine="709"/>
        <w:jc w:val="both"/>
        <w:rPr>
          <w:rFonts w:ascii="Times New Roman" w:hAnsi="Times New Roman" w:cs="Times New Roman"/>
          <w:sz w:val="24"/>
        </w:rPr>
      </w:pPr>
      <w:r>
        <w:rPr>
          <w:rFonts w:ascii="Times New Roman" w:hAnsi="Times New Roman" w:cs="Times New Roman"/>
          <w:sz w:val="24"/>
        </w:rPr>
        <w:t xml:space="preserve">В статье рассматривается методика совершенствования структуры производства на примере конкретного сельскохозяйственного предприятия с использованием маржинального анализа. </w:t>
      </w:r>
      <w:proofErr w:type="gramStart"/>
      <w:r>
        <w:rPr>
          <w:rFonts w:ascii="Times New Roman" w:hAnsi="Times New Roman" w:cs="Times New Roman"/>
          <w:sz w:val="24"/>
        </w:rPr>
        <w:t xml:space="preserve">Утверждается, что использование предложенного алгоритма в условиях данного хозяйства может привести к увеличению суммы прибыли примерно на 25% в сравнении с фактической практически без дополнительных </w:t>
      </w:r>
      <w:proofErr w:type="spellStart"/>
      <w:r>
        <w:rPr>
          <w:rFonts w:ascii="Times New Roman" w:hAnsi="Times New Roman" w:cs="Times New Roman"/>
          <w:sz w:val="24"/>
        </w:rPr>
        <w:t>материальноденежных</w:t>
      </w:r>
      <w:proofErr w:type="spellEnd"/>
      <w:r>
        <w:rPr>
          <w:rFonts w:ascii="Times New Roman" w:hAnsi="Times New Roman" w:cs="Times New Roman"/>
          <w:sz w:val="24"/>
        </w:rPr>
        <w:t xml:space="preserve"> затрат.</w:t>
      </w:r>
      <w:proofErr w:type="gramEnd"/>
    </w:p>
    <w:p w:rsidR="006A54A2" w:rsidRDefault="006A54A2" w:rsidP="00D74B6D">
      <w:pPr>
        <w:pStyle w:val="a3"/>
        <w:ind w:firstLine="709"/>
        <w:jc w:val="both"/>
        <w:rPr>
          <w:rFonts w:ascii="Times New Roman" w:hAnsi="Times New Roman" w:cs="Times New Roman"/>
          <w:sz w:val="24"/>
        </w:rPr>
      </w:pPr>
    </w:p>
    <w:p w:rsidR="00D74B6D" w:rsidRDefault="006A54A2" w:rsidP="006A54A2">
      <w:pPr>
        <w:pStyle w:val="a3"/>
        <w:ind w:firstLine="709"/>
        <w:jc w:val="both"/>
        <w:rPr>
          <w:rFonts w:ascii="Times New Roman" w:hAnsi="Times New Roman" w:cs="Times New Roman"/>
          <w:sz w:val="28"/>
        </w:rPr>
      </w:pPr>
      <w:r w:rsidRPr="006A54A2">
        <w:rPr>
          <w:rFonts w:ascii="Times New Roman" w:hAnsi="Times New Roman" w:cs="Times New Roman"/>
          <w:sz w:val="28"/>
        </w:rPr>
        <w:t>Бабкина</w:t>
      </w:r>
      <w:r>
        <w:rPr>
          <w:rFonts w:ascii="Times New Roman" w:hAnsi="Times New Roman" w:cs="Times New Roman"/>
          <w:sz w:val="28"/>
        </w:rPr>
        <w:t>,</w:t>
      </w:r>
      <w:r w:rsidRPr="006A54A2">
        <w:rPr>
          <w:rFonts w:ascii="Times New Roman" w:hAnsi="Times New Roman" w:cs="Times New Roman"/>
          <w:sz w:val="28"/>
        </w:rPr>
        <w:t xml:space="preserve"> Е.</w:t>
      </w:r>
      <w:r>
        <w:rPr>
          <w:rFonts w:ascii="Times New Roman" w:hAnsi="Times New Roman" w:cs="Times New Roman"/>
          <w:sz w:val="28"/>
        </w:rPr>
        <w:t xml:space="preserve"> </w:t>
      </w:r>
      <w:r w:rsidRPr="006A54A2">
        <w:rPr>
          <w:rFonts w:ascii="Times New Roman" w:hAnsi="Times New Roman" w:cs="Times New Roman"/>
          <w:sz w:val="28"/>
        </w:rPr>
        <w:t>С. Оценка устойчивости функционирования малых форм хозяйствования / Е.</w:t>
      </w:r>
      <w:r>
        <w:rPr>
          <w:rFonts w:ascii="Times New Roman" w:hAnsi="Times New Roman" w:cs="Times New Roman"/>
          <w:sz w:val="28"/>
        </w:rPr>
        <w:t xml:space="preserve"> </w:t>
      </w:r>
      <w:r w:rsidRPr="006A54A2">
        <w:rPr>
          <w:rFonts w:ascii="Times New Roman" w:hAnsi="Times New Roman" w:cs="Times New Roman"/>
          <w:sz w:val="28"/>
        </w:rPr>
        <w:t xml:space="preserve">С. Бабкина // </w:t>
      </w:r>
      <w:proofErr w:type="spellStart"/>
      <w:r w:rsidRPr="006A54A2">
        <w:rPr>
          <w:rFonts w:ascii="Times New Roman" w:hAnsi="Times New Roman" w:cs="Times New Roman"/>
          <w:sz w:val="28"/>
        </w:rPr>
        <w:t>Вестн</w:t>
      </w:r>
      <w:proofErr w:type="spellEnd"/>
      <w:r w:rsidRPr="006A54A2">
        <w:rPr>
          <w:rFonts w:ascii="Times New Roman" w:hAnsi="Times New Roman" w:cs="Times New Roman"/>
          <w:sz w:val="28"/>
        </w:rPr>
        <w:t>. Курганской ГСХА. – 2018. – № 1. – С. 3–6.</w:t>
      </w:r>
    </w:p>
    <w:p w:rsidR="006A54A2" w:rsidRPr="006A54A2" w:rsidRDefault="006A54A2" w:rsidP="006A54A2">
      <w:pPr>
        <w:pStyle w:val="a3"/>
        <w:ind w:firstLine="709"/>
        <w:jc w:val="both"/>
        <w:rPr>
          <w:rFonts w:ascii="Times New Roman" w:hAnsi="Times New Roman" w:cs="Times New Roman"/>
          <w:sz w:val="24"/>
        </w:rPr>
      </w:pPr>
    </w:p>
    <w:p w:rsidR="000D696E" w:rsidRDefault="000D696E" w:rsidP="000D696E">
      <w:pPr>
        <w:pStyle w:val="a3"/>
        <w:ind w:firstLine="709"/>
        <w:jc w:val="both"/>
        <w:rPr>
          <w:rFonts w:ascii="Times New Roman" w:hAnsi="Times New Roman" w:cs="Times New Roman"/>
          <w:sz w:val="28"/>
        </w:rPr>
      </w:pPr>
      <w:proofErr w:type="spellStart"/>
      <w:r w:rsidRPr="000D696E">
        <w:rPr>
          <w:rFonts w:ascii="Times New Roman" w:hAnsi="Times New Roman" w:cs="Times New Roman"/>
          <w:sz w:val="28"/>
        </w:rPr>
        <w:t>Гранкин</w:t>
      </w:r>
      <w:proofErr w:type="spellEnd"/>
      <w:r w:rsidRPr="000D696E">
        <w:rPr>
          <w:rFonts w:ascii="Times New Roman" w:hAnsi="Times New Roman" w:cs="Times New Roman"/>
          <w:sz w:val="28"/>
        </w:rPr>
        <w:t xml:space="preserve">, В. Ф. Сравнительный анализ российских и зарубежных методик прогнозирования вероятности банкротства / В. Ф. </w:t>
      </w:r>
      <w:proofErr w:type="spellStart"/>
      <w:r w:rsidRPr="000D696E">
        <w:rPr>
          <w:rFonts w:ascii="Times New Roman" w:hAnsi="Times New Roman" w:cs="Times New Roman"/>
          <w:sz w:val="28"/>
        </w:rPr>
        <w:t>Гранкин</w:t>
      </w:r>
      <w:proofErr w:type="spellEnd"/>
      <w:r w:rsidRPr="000D696E">
        <w:rPr>
          <w:rFonts w:ascii="Times New Roman" w:hAnsi="Times New Roman" w:cs="Times New Roman"/>
          <w:sz w:val="28"/>
        </w:rPr>
        <w:t xml:space="preserve">, И. Н. </w:t>
      </w:r>
      <w:proofErr w:type="gramStart"/>
      <w:r w:rsidRPr="000D696E">
        <w:rPr>
          <w:rFonts w:ascii="Times New Roman" w:hAnsi="Times New Roman" w:cs="Times New Roman"/>
          <w:sz w:val="28"/>
        </w:rPr>
        <w:t xml:space="preserve">М </w:t>
      </w:r>
      <w:proofErr w:type="spellStart"/>
      <w:r w:rsidRPr="000D696E">
        <w:rPr>
          <w:rFonts w:ascii="Times New Roman" w:hAnsi="Times New Roman" w:cs="Times New Roman"/>
          <w:sz w:val="28"/>
        </w:rPr>
        <w:t>арченкова</w:t>
      </w:r>
      <w:proofErr w:type="spellEnd"/>
      <w:proofErr w:type="gramEnd"/>
      <w:r w:rsidRPr="000D696E">
        <w:rPr>
          <w:rFonts w:ascii="Times New Roman" w:hAnsi="Times New Roman" w:cs="Times New Roman"/>
          <w:sz w:val="28"/>
        </w:rPr>
        <w:t xml:space="preserve">, А. А. </w:t>
      </w:r>
      <w:proofErr w:type="spellStart"/>
      <w:r w:rsidRPr="000D696E">
        <w:rPr>
          <w:rFonts w:ascii="Times New Roman" w:hAnsi="Times New Roman" w:cs="Times New Roman"/>
          <w:sz w:val="28"/>
        </w:rPr>
        <w:t>Удовикова</w:t>
      </w:r>
      <w:proofErr w:type="spellEnd"/>
      <w:r w:rsidRPr="000D696E">
        <w:rPr>
          <w:rFonts w:ascii="Times New Roman" w:hAnsi="Times New Roman" w:cs="Times New Roman"/>
          <w:sz w:val="28"/>
        </w:rPr>
        <w:t xml:space="preserve"> // </w:t>
      </w:r>
      <w:proofErr w:type="spellStart"/>
      <w:r w:rsidRPr="000D696E">
        <w:rPr>
          <w:rFonts w:ascii="Times New Roman" w:hAnsi="Times New Roman" w:cs="Times New Roman"/>
          <w:sz w:val="28"/>
        </w:rPr>
        <w:t>Вестн</w:t>
      </w:r>
      <w:proofErr w:type="spellEnd"/>
      <w:r w:rsidRPr="000D696E">
        <w:rPr>
          <w:rFonts w:ascii="Times New Roman" w:hAnsi="Times New Roman" w:cs="Times New Roman"/>
          <w:sz w:val="28"/>
        </w:rPr>
        <w:t>. Курской гос. с.-х. акад. – 2018. – № 5. – С. 169–176.</w:t>
      </w:r>
    </w:p>
    <w:p w:rsidR="00597FAB" w:rsidRPr="00016331" w:rsidRDefault="00597FAB" w:rsidP="000D696E">
      <w:pPr>
        <w:pStyle w:val="a3"/>
        <w:ind w:firstLine="709"/>
        <w:jc w:val="both"/>
        <w:rPr>
          <w:rFonts w:ascii="Times New Roman" w:hAnsi="Times New Roman" w:cs="Times New Roman"/>
          <w:sz w:val="24"/>
        </w:rPr>
      </w:pPr>
    </w:p>
    <w:p w:rsidR="000D696E" w:rsidRPr="00597FAB" w:rsidRDefault="00597FAB" w:rsidP="00597FAB">
      <w:pPr>
        <w:pStyle w:val="a3"/>
        <w:ind w:firstLine="709"/>
        <w:jc w:val="both"/>
        <w:rPr>
          <w:rFonts w:ascii="Times New Roman" w:hAnsi="Times New Roman" w:cs="Times New Roman"/>
          <w:sz w:val="28"/>
        </w:rPr>
      </w:pPr>
      <w:proofErr w:type="spellStart"/>
      <w:r w:rsidRPr="00597FAB">
        <w:rPr>
          <w:rFonts w:ascii="Times New Roman" w:hAnsi="Times New Roman" w:cs="Times New Roman"/>
          <w:sz w:val="28"/>
        </w:rPr>
        <w:t>Гущенская</w:t>
      </w:r>
      <w:proofErr w:type="spellEnd"/>
      <w:r w:rsidR="00366D0D" w:rsidRPr="00597FAB">
        <w:rPr>
          <w:rFonts w:ascii="Times New Roman" w:hAnsi="Times New Roman" w:cs="Times New Roman"/>
          <w:sz w:val="28"/>
        </w:rPr>
        <w:t>,</w:t>
      </w:r>
      <w:r w:rsidRPr="00597FAB">
        <w:rPr>
          <w:rFonts w:ascii="Times New Roman" w:hAnsi="Times New Roman" w:cs="Times New Roman"/>
          <w:sz w:val="28"/>
        </w:rPr>
        <w:t xml:space="preserve"> Н.</w:t>
      </w:r>
      <w:r w:rsidR="00366D0D">
        <w:rPr>
          <w:rFonts w:ascii="Times New Roman" w:hAnsi="Times New Roman" w:cs="Times New Roman"/>
          <w:sz w:val="28"/>
        </w:rPr>
        <w:t xml:space="preserve"> </w:t>
      </w:r>
      <w:r w:rsidRPr="00597FAB">
        <w:rPr>
          <w:rFonts w:ascii="Times New Roman" w:hAnsi="Times New Roman" w:cs="Times New Roman"/>
          <w:sz w:val="28"/>
        </w:rPr>
        <w:t>Д. Методика определения интегрального показателя ресурсной безопасности сельскохозяйственных организаций / Н.</w:t>
      </w:r>
      <w:r>
        <w:rPr>
          <w:rFonts w:ascii="Times New Roman" w:hAnsi="Times New Roman" w:cs="Times New Roman"/>
          <w:sz w:val="28"/>
        </w:rPr>
        <w:t xml:space="preserve"> </w:t>
      </w:r>
      <w:r w:rsidRPr="00597FAB">
        <w:rPr>
          <w:rFonts w:ascii="Times New Roman" w:hAnsi="Times New Roman" w:cs="Times New Roman"/>
          <w:sz w:val="28"/>
        </w:rPr>
        <w:t xml:space="preserve">Д. </w:t>
      </w:r>
      <w:proofErr w:type="spellStart"/>
      <w:r w:rsidRPr="00597FAB">
        <w:rPr>
          <w:rFonts w:ascii="Times New Roman" w:hAnsi="Times New Roman" w:cs="Times New Roman"/>
          <w:sz w:val="28"/>
        </w:rPr>
        <w:t>Гущенская</w:t>
      </w:r>
      <w:proofErr w:type="spellEnd"/>
      <w:r w:rsidRPr="00597FAB">
        <w:rPr>
          <w:rFonts w:ascii="Times New Roman" w:hAnsi="Times New Roman" w:cs="Times New Roman"/>
          <w:sz w:val="28"/>
        </w:rPr>
        <w:t>, А.</w:t>
      </w:r>
      <w:r>
        <w:rPr>
          <w:rFonts w:ascii="Times New Roman" w:hAnsi="Times New Roman" w:cs="Times New Roman"/>
          <w:sz w:val="28"/>
        </w:rPr>
        <w:t xml:space="preserve"> </w:t>
      </w:r>
      <w:r w:rsidRPr="00597FAB">
        <w:rPr>
          <w:rFonts w:ascii="Times New Roman" w:hAnsi="Times New Roman" w:cs="Times New Roman"/>
          <w:sz w:val="28"/>
        </w:rPr>
        <w:t xml:space="preserve">Ю. </w:t>
      </w:r>
      <w:proofErr w:type="spellStart"/>
      <w:r w:rsidRPr="00597FAB">
        <w:rPr>
          <w:rFonts w:ascii="Times New Roman" w:hAnsi="Times New Roman" w:cs="Times New Roman"/>
          <w:sz w:val="28"/>
        </w:rPr>
        <w:t>Анфалова</w:t>
      </w:r>
      <w:proofErr w:type="spellEnd"/>
      <w:r w:rsidRPr="00597FAB">
        <w:rPr>
          <w:rFonts w:ascii="Times New Roman" w:hAnsi="Times New Roman" w:cs="Times New Roman"/>
          <w:sz w:val="28"/>
        </w:rPr>
        <w:t xml:space="preserve"> // </w:t>
      </w:r>
      <w:proofErr w:type="spellStart"/>
      <w:r w:rsidRPr="00597FAB">
        <w:rPr>
          <w:rFonts w:ascii="Times New Roman" w:hAnsi="Times New Roman" w:cs="Times New Roman"/>
          <w:sz w:val="28"/>
        </w:rPr>
        <w:t>Вестн</w:t>
      </w:r>
      <w:proofErr w:type="spellEnd"/>
      <w:r w:rsidRPr="00597FAB">
        <w:rPr>
          <w:rFonts w:ascii="Times New Roman" w:hAnsi="Times New Roman" w:cs="Times New Roman"/>
          <w:sz w:val="28"/>
        </w:rPr>
        <w:t>. Курганской ГСХА. – 2018. – № 1. – С. 7–9.</w:t>
      </w:r>
    </w:p>
    <w:p w:rsidR="00597FAB" w:rsidRPr="00016331" w:rsidRDefault="00597FAB" w:rsidP="000D696E">
      <w:pPr>
        <w:pStyle w:val="a3"/>
        <w:ind w:firstLine="709"/>
        <w:jc w:val="both"/>
        <w:rPr>
          <w:rFonts w:ascii="Times New Roman" w:hAnsi="Times New Roman" w:cs="Times New Roman"/>
          <w:sz w:val="24"/>
        </w:rPr>
      </w:pPr>
    </w:p>
    <w:p w:rsidR="00B73920" w:rsidRPr="00F837B7" w:rsidRDefault="00B73920" w:rsidP="00B73920">
      <w:pPr>
        <w:pStyle w:val="a3"/>
        <w:ind w:firstLine="709"/>
        <w:jc w:val="both"/>
        <w:rPr>
          <w:rFonts w:ascii="Times New Roman" w:hAnsi="Times New Roman" w:cs="Times New Roman"/>
          <w:sz w:val="28"/>
        </w:rPr>
      </w:pPr>
      <w:r w:rsidRPr="00F837B7">
        <w:rPr>
          <w:rFonts w:ascii="Times New Roman" w:hAnsi="Times New Roman" w:cs="Times New Roman"/>
          <w:sz w:val="28"/>
        </w:rPr>
        <w:t>Сельскохозяйственная кооперация на муниципальном уровне: проблемы и решения / В. С. Крылов [и др.] // Экономика с</w:t>
      </w:r>
      <w:r>
        <w:rPr>
          <w:rFonts w:ascii="Times New Roman" w:hAnsi="Times New Roman" w:cs="Times New Roman"/>
          <w:sz w:val="28"/>
        </w:rPr>
        <w:t>.-</w:t>
      </w:r>
      <w:r w:rsidRPr="00F837B7">
        <w:rPr>
          <w:rFonts w:ascii="Times New Roman" w:hAnsi="Times New Roman" w:cs="Times New Roman"/>
          <w:sz w:val="28"/>
        </w:rPr>
        <w:t>х</w:t>
      </w:r>
      <w:r>
        <w:rPr>
          <w:rFonts w:ascii="Times New Roman" w:hAnsi="Times New Roman" w:cs="Times New Roman"/>
          <w:sz w:val="28"/>
        </w:rPr>
        <w:t>.</w:t>
      </w:r>
      <w:r w:rsidRPr="00F837B7">
        <w:rPr>
          <w:rFonts w:ascii="Times New Roman" w:hAnsi="Times New Roman" w:cs="Times New Roman"/>
          <w:sz w:val="28"/>
        </w:rPr>
        <w:t xml:space="preserve"> и </w:t>
      </w:r>
      <w:proofErr w:type="spellStart"/>
      <w:r w:rsidRPr="00F837B7">
        <w:rPr>
          <w:rFonts w:ascii="Times New Roman" w:hAnsi="Times New Roman" w:cs="Times New Roman"/>
          <w:sz w:val="28"/>
        </w:rPr>
        <w:t>перерабат</w:t>
      </w:r>
      <w:proofErr w:type="spellEnd"/>
      <w:r>
        <w:rPr>
          <w:rFonts w:ascii="Times New Roman" w:hAnsi="Times New Roman" w:cs="Times New Roman"/>
          <w:sz w:val="28"/>
        </w:rPr>
        <w:t>.</w:t>
      </w:r>
      <w:r w:rsidRPr="00F837B7">
        <w:rPr>
          <w:rFonts w:ascii="Times New Roman" w:hAnsi="Times New Roman" w:cs="Times New Roman"/>
          <w:sz w:val="28"/>
        </w:rPr>
        <w:t xml:space="preserve"> предприятий. </w:t>
      </w:r>
      <w:r>
        <w:rPr>
          <w:rFonts w:ascii="Times New Roman" w:hAnsi="Times New Roman" w:cs="Times New Roman"/>
          <w:sz w:val="28"/>
        </w:rPr>
        <w:t>–</w:t>
      </w:r>
      <w:r w:rsidRPr="00F837B7">
        <w:rPr>
          <w:rFonts w:ascii="Times New Roman" w:hAnsi="Times New Roman" w:cs="Times New Roman"/>
          <w:sz w:val="28"/>
        </w:rPr>
        <w:t xml:space="preserve"> 2018. </w:t>
      </w:r>
      <w:r>
        <w:rPr>
          <w:rFonts w:ascii="Times New Roman" w:hAnsi="Times New Roman" w:cs="Times New Roman"/>
          <w:sz w:val="28"/>
        </w:rPr>
        <w:t>– №</w:t>
      </w:r>
      <w:r w:rsidRPr="00F837B7">
        <w:rPr>
          <w:rFonts w:ascii="Times New Roman" w:hAnsi="Times New Roman" w:cs="Times New Roman"/>
          <w:sz w:val="28"/>
        </w:rPr>
        <w:t xml:space="preserve"> 5. </w:t>
      </w:r>
      <w:r>
        <w:rPr>
          <w:rFonts w:ascii="Times New Roman" w:hAnsi="Times New Roman" w:cs="Times New Roman"/>
          <w:sz w:val="28"/>
        </w:rPr>
        <w:t>– С. 50–</w:t>
      </w:r>
      <w:r w:rsidRPr="00F837B7">
        <w:rPr>
          <w:rFonts w:ascii="Times New Roman" w:hAnsi="Times New Roman" w:cs="Times New Roman"/>
          <w:sz w:val="28"/>
        </w:rPr>
        <w:t>55</w:t>
      </w:r>
      <w:proofErr w:type="gramStart"/>
      <w:r w:rsidRPr="00F837B7">
        <w:rPr>
          <w:rFonts w:ascii="Times New Roman" w:hAnsi="Times New Roman" w:cs="Times New Roman"/>
          <w:sz w:val="28"/>
        </w:rPr>
        <w:t xml:space="preserve"> :</w:t>
      </w:r>
      <w:proofErr w:type="gramEnd"/>
      <w:r w:rsidRPr="00F837B7">
        <w:rPr>
          <w:rFonts w:ascii="Times New Roman" w:hAnsi="Times New Roman" w:cs="Times New Roman"/>
          <w:sz w:val="28"/>
        </w:rPr>
        <w:t xml:space="preserve"> 2 рис</w:t>
      </w:r>
      <w:r>
        <w:rPr>
          <w:rFonts w:ascii="Times New Roman" w:hAnsi="Times New Roman" w:cs="Times New Roman"/>
          <w:sz w:val="28"/>
        </w:rPr>
        <w:t>.</w:t>
      </w:r>
    </w:p>
    <w:p w:rsidR="00B73920" w:rsidRPr="00F837B7" w:rsidRDefault="00B73920" w:rsidP="00366D0D">
      <w:pPr>
        <w:pStyle w:val="a3"/>
        <w:widowControl w:val="0"/>
        <w:ind w:firstLine="709"/>
        <w:jc w:val="both"/>
        <w:rPr>
          <w:rFonts w:ascii="Times New Roman" w:hAnsi="Times New Roman" w:cs="Times New Roman"/>
          <w:sz w:val="24"/>
        </w:rPr>
      </w:pPr>
      <w:r w:rsidRPr="00F837B7">
        <w:rPr>
          <w:rFonts w:ascii="Times New Roman" w:hAnsi="Times New Roman" w:cs="Times New Roman"/>
          <w:sz w:val="24"/>
        </w:rPr>
        <w:t>Статья посвящена анализу состояния и основных направлений развития сельскохозяйственной кооперац</w:t>
      </w:r>
      <w:proofErr w:type="gramStart"/>
      <w:r w:rsidRPr="00F837B7">
        <w:rPr>
          <w:rFonts w:ascii="Times New Roman" w:hAnsi="Times New Roman" w:cs="Times New Roman"/>
          <w:sz w:val="24"/>
        </w:rPr>
        <w:t>ии и её</w:t>
      </w:r>
      <w:proofErr w:type="gramEnd"/>
      <w:r w:rsidRPr="00F837B7">
        <w:rPr>
          <w:rFonts w:ascii="Times New Roman" w:hAnsi="Times New Roman" w:cs="Times New Roman"/>
          <w:sz w:val="24"/>
        </w:rPr>
        <w:t xml:space="preserve"> значения для стабильного развития агропромышленного комплекса, укрепления экономики сельского хозяйства, отдельных регионов и страны в целом. Определены роль, значение и необходимость в современных условиях создания пилотных проектов сельскохозяйственной кооперации. Предложены новые направления и принципы государственной поддержки пилотных проектов сельскохозяйственных кооперативов. Особое внимание авторы придают созданию районных кооперативов в депрессивных регионах российского Нечерноземья.</w:t>
      </w:r>
    </w:p>
    <w:p w:rsidR="00B73920" w:rsidRDefault="00B73920" w:rsidP="00B73920">
      <w:pPr>
        <w:pStyle w:val="a3"/>
        <w:ind w:firstLine="709"/>
        <w:jc w:val="both"/>
        <w:rPr>
          <w:rFonts w:ascii="Times New Roman" w:hAnsi="Times New Roman" w:cs="Times New Roman"/>
          <w:sz w:val="24"/>
        </w:rPr>
      </w:pPr>
    </w:p>
    <w:p w:rsidR="00433622" w:rsidRDefault="00433622" w:rsidP="00433622">
      <w:pPr>
        <w:pStyle w:val="a3"/>
        <w:ind w:firstLine="709"/>
        <w:jc w:val="both"/>
        <w:rPr>
          <w:rFonts w:ascii="Times New Roman" w:hAnsi="Times New Roman" w:cs="Times New Roman"/>
          <w:sz w:val="28"/>
        </w:rPr>
      </w:pPr>
      <w:proofErr w:type="spellStart"/>
      <w:r w:rsidRPr="00433622">
        <w:rPr>
          <w:rFonts w:ascii="Times New Roman" w:hAnsi="Times New Roman" w:cs="Times New Roman"/>
          <w:sz w:val="28"/>
        </w:rPr>
        <w:t>Семиколенова</w:t>
      </w:r>
      <w:proofErr w:type="spellEnd"/>
      <w:r w:rsidRPr="00433622">
        <w:rPr>
          <w:rFonts w:ascii="Times New Roman" w:hAnsi="Times New Roman" w:cs="Times New Roman"/>
          <w:sz w:val="28"/>
        </w:rPr>
        <w:t>, М.</w:t>
      </w:r>
      <w:r>
        <w:rPr>
          <w:rFonts w:ascii="Times New Roman" w:hAnsi="Times New Roman" w:cs="Times New Roman"/>
          <w:sz w:val="28"/>
        </w:rPr>
        <w:t xml:space="preserve"> </w:t>
      </w:r>
      <w:r w:rsidRPr="00433622">
        <w:rPr>
          <w:rFonts w:ascii="Times New Roman" w:hAnsi="Times New Roman" w:cs="Times New Roman"/>
          <w:sz w:val="28"/>
        </w:rPr>
        <w:t>Н. Стратегический анализ внешней среды сельскохозяйственных организаций Алтайского края / М.</w:t>
      </w:r>
      <w:r>
        <w:rPr>
          <w:rFonts w:ascii="Times New Roman" w:hAnsi="Times New Roman" w:cs="Times New Roman"/>
          <w:sz w:val="28"/>
        </w:rPr>
        <w:t xml:space="preserve"> </w:t>
      </w:r>
      <w:r w:rsidRPr="00433622">
        <w:rPr>
          <w:rFonts w:ascii="Times New Roman" w:hAnsi="Times New Roman" w:cs="Times New Roman"/>
          <w:sz w:val="28"/>
        </w:rPr>
        <w:t xml:space="preserve">Н. </w:t>
      </w:r>
      <w:proofErr w:type="spellStart"/>
      <w:r w:rsidRPr="00433622">
        <w:rPr>
          <w:rFonts w:ascii="Times New Roman" w:hAnsi="Times New Roman" w:cs="Times New Roman"/>
          <w:sz w:val="28"/>
        </w:rPr>
        <w:t>Семиколенова</w:t>
      </w:r>
      <w:proofErr w:type="spellEnd"/>
      <w:r w:rsidRPr="00433622">
        <w:rPr>
          <w:rFonts w:ascii="Times New Roman" w:hAnsi="Times New Roman" w:cs="Times New Roman"/>
          <w:sz w:val="28"/>
        </w:rPr>
        <w:t xml:space="preserve">, </w:t>
      </w:r>
      <w:r w:rsidRPr="00433622">
        <w:rPr>
          <w:rFonts w:ascii="Times New Roman" w:hAnsi="Times New Roman" w:cs="Times New Roman"/>
          <w:sz w:val="28"/>
        </w:rPr>
        <w:lastRenderedPageBreak/>
        <w:t>Л.</w:t>
      </w:r>
      <w:r>
        <w:rPr>
          <w:rFonts w:ascii="Times New Roman" w:hAnsi="Times New Roman" w:cs="Times New Roman"/>
          <w:sz w:val="28"/>
        </w:rPr>
        <w:t xml:space="preserve"> </w:t>
      </w:r>
      <w:r w:rsidRPr="00433622">
        <w:rPr>
          <w:rFonts w:ascii="Times New Roman" w:hAnsi="Times New Roman" w:cs="Times New Roman"/>
          <w:sz w:val="28"/>
        </w:rPr>
        <w:t>Г.</w:t>
      </w:r>
      <w:r>
        <w:rPr>
          <w:rFonts w:ascii="Times New Roman" w:hAnsi="Times New Roman" w:cs="Times New Roman"/>
          <w:sz w:val="28"/>
        </w:rPr>
        <w:t xml:space="preserve"> </w:t>
      </w:r>
      <w:r w:rsidRPr="00433622">
        <w:rPr>
          <w:rFonts w:ascii="Times New Roman" w:hAnsi="Times New Roman" w:cs="Times New Roman"/>
          <w:sz w:val="28"/>
        </w:rPr>
        <w:t>Глубокова, И.</w:t>
      </w:r>
      <w:r>
        <w:rPr>
          <w:rFonts w:ascii="Times New Roman" w:hAnsi="Times New Roman" w:cs="Times New Roman"/>
          <w:sz w:val="28"/>
        </w:rPr>
        <w:t xml:space="preserve"> </w:t>
      </w:r>
      <w:r w:rsidRPr="00433622">
        <w:rPr>
          <w:rFonts w:ascii="Times New Roman" w:hAnsi="Times New Roman" w:cs="Times New Roman"/>
          <w:sz w:val="28"/>
        </w:rPr>
        <w:t xml:space="preserve">О. Глубоков // </w:t>
      </w:r>
      <w:proofErr w:type="spellStart"/>
      <w:r w:rsidRPr="00433622">
        <w:rPr>
          <w:rFonts w:ascii="Times New Roman" w:hAnsi="Times New Roman" w:cs="Times New Roman"/>
          <w:sz w:val="28"/>
        </w:rPr>
        <w:t>Вестн</w:t>
      </w:r>
      <w:proofErr w:type="spellEnd"/>
      <w:r w:rsidRPr="00433622">
        <w:rPr>
          <w:rFonts w:ascii="Times New Roman" w:hAnsi="Times New Roman" w:cs="Times New Roman"/>
          <w:sz w:val="28"/>
        </w:rPr>
        <w:t>. Курской гос. с.-х. акад. – 2018. – № 5. – С. 157–163.</w:t>
      </w:r>
    </w:p>
    <w:p w:rsidR="00366D0D" w:rsidRPr="00366D0D" w:rsidRDefault="00366D0D" w:rsidP="00433622">
      <w:pPr>
        <w:pStyle w:val="a3"/>
        <w:ind w:firstLine="709"/>
        <w:jc w:val="both"/>
        <w:rPr>
          <w:rFonts w:ascii="Times New Roman" w:hAnsi="Times New Roman" w:cs="Times New Roman"/>
          <w:sz w:val="24"/>
        </w:rPr>
      </w:pPr>
    </w:p>
    <w:p w:rsidR="00B73920" w:rsidRPr="00976536" w:rsidRDefault="00B73920" w:rsidP="00B73920">
      <w:pPr>
        <w:pStyle w:val="a3"/>
        <w:ind w:firstLine="709"/>
        <w:jc w:val="both"/>
        <w:rPr>
          <w:rFonts w:ascii="Times New Roman" w:hAnsi="Times New Roman" w:cs="Times New Roman"/>
          <w:sz w:val="28"/>
        </w:rPr>
      </w:pPr>
      <w:r w:rsidRPr="00976536">
        <w:rPr>
          <w:rFonts w:ascii="Times New Roman" w:hAnsi="Times New Roman" w:cs="Times New Roman"/>
          <w:sz w:val="28"/>
        </w:rPr>
        <w:t xml:space="preserve">Сосновская, Т. Н. Особенности внутрихозяйственных отношений эффективных организационно-правовых форм хозяйствования в Камчатском крае / Т. Н. Сосновская, Е. В. </w:t>
      </w:r>
      <w:proofErr w:type="spellStart"/>
      <w:r w:rsidRPr="00976536">
        <w:rPr>
          <w:rFonts w:ascii="Times New Roman" w:hAnsi="Times New Roman" w:cs="Times New Roman"/>
          <w:sz w:val="28"/>
        </w:rPr>
        <w:t>Гордусенко</w:t>
      </w:r>
      <w:proofErr w:type="spellEnd"/>
      <w:r w:rsidRPr="00976536">
        <w:rPr>
          <w:rFonts w:ascii="Times New Roman" w:hAnsi="Times New Roman" w:cs="Times New Roman"/>
          <w:sz w:val="28"/>
        </w:rPr>
        <w:t xml:space="preserve">, Н. И. </w:t>
      </w:r>
      <w:proofErr w:type="spellStart"/>
      <w:r w:rsidRPr="00976536">
        <w:rPr>
          <w:rFonts w:ascii="Times New Roman" w:hAnsi="Times New Roman" w:cs="Times New Roman"/>
          <w:sz w:val="28"/>
        </w:rPr>
        <w:t>Ряховская</w:t>
      </w:r>
      <w:proofErr w:type="spellEnd"/>
      <w:r w:rsidRPr="00976536">
        <w:rPr>
          <w:rFonts w:ascii="Times New Roman" w:hAnsi="Times New Roman" w:cs="Times New Roman"/>
          <w:sz w:val="28"/>
        </w:rPr>
        <w:t xml:space="preserve"> // Достижения науки и техники АПК. </w:t>
      </w:r>
      <w:r>
        <w:rPr>
          <w:rFonts w:ascii="Times New Roman" w:hAnsi="Times New Roman" w:cs="Times New Roman"/>
          <w:sz w:val="28"/>
        </w:rPr>
        <w:t>–</w:t>
      </w:r>
      <w:r w:rsidRPr="00976536">
        <w:rPr>
          <w:rFonts w:ascii="Times New Roman" w:hAnsi="Times New Roman" w:cs="Times New Roman"/>
          <w:sz w:val="28"/>
        </w:rPr>
        <w:t xml:space="preserve"> 2018. </w:t>
      </w:r>
      <w:r>
        <w:rPr>
          <w:rFonts w:ascii="Times New Roman" w:hAnsi="Times New Roman" w:cs="Times New Roman"/>
          <w:sz w:val="28"/>
        </w:rPr>
        <w:t>–</w:t>
      </w:r>
      <w:r w:rsidRPr="00976536">
        <w:rPr>
          <w:rFonts w:ascii="Times New Roman" w:hAnsi="Times New Roman" w:cs="Times New Roman"/>
          <w:sz w:val="28"/>
        </w:rPr>
        <w:t xml:space="preserve"> Том 32, </w:t>
      </w:r>
      <w:r>
        <w:rPr>
          <w:rFonts w:ascii="Times New Roman" w:hAnsi="Times New Roman" w:cs="Times New Roman"/>
          <w:sz w:val="28"/>
        </w:rPr>
        <w:t>№</w:t>
      </w:r>
      <w:r w:rsidRPr="00976536">
        <w:rPr>
          <w:rFonts w:ascii="Times New Roman" w:hAnsi="Times New Roman" w:cs="Times New Roman"/>
          <w:sz w:val="28"/>
        </w:rPr>
        <w:t xml:space="preserve"> 6. </w:t>
      </w:r>
      <w:r>
        <w:rPr>
          <w:rFonts w:ascii="Times New Roman" w:hAnsi="Times New Roman" w:cs="Times New Roman"/>
          <w:sz w:val="28"/>
        </w:rPr>
        <w:t>– С. 84–</w:t>
      </w:r>
      <w:r w:rsidRPr="00976536">
        <w:rPr>
          <w:rFonts w:ascii="Times New Roman" w:hAnsi="Times New Roman" w:cs="Times New Roman"/>
          <w:sz w:val="28"/>
        </w:rPr>
        <w:t>85</w:t>
      </w:r>
      <w:proofErr w:type="gramStart"/>
      <w:r w:rsidRPr="00976536">
        <w:rPr>
          <w:rFonts w:ascii="Times New Roman" w:hAnsi="Times New Roman" w:cs="Times New Roman"/>
          <w:sz w:val="28"/>
        </w:rPr>
        <w:t xml:space="preserve"> :</w:t>
      </w:r>
      <w:proofErr w:type="gramEnd"/>
      <w:r w:rsidRPr="00976536">
        <w:rPr>
          <w:rFonts w:ascii="Times New Roman" w:hAnsi="Times New Roman" w:cs="Times New Roman"/>
          <w:sz w:val="28"/>
        </w:rPr>
        <w:t xml:space="preserve"> 2 табл. </w:t>
      </w:r>
    </w:p>
    <w:p w:rsidR="00B73920" w:rsidRDefault="00B73920" w:rsidP="00B73920">
      <w:pPr>
        <w:pStyle w:val="a3"/>
        <w:ind w:firstLine="709"/>
        <w:jc w:val="both"/>
        <w:rPr>
          <w:rFonts w:ascii="Times New Roman" w:hAnsi="Times New Roman" w:cs="Times New Roman"/>
          <w:sz w:val="24"/>
        </w:rPr>
      </w:pPr>
      <w:r w:rsidRPr="00976536">
        <w:rPr>
          <w:rFonts w:ascii="Times New Roman" w:hAnsi="Times New Roman" w:cs="Times New Roman"/>
          <w:sz w:val="24"/>
        </w:rPr>
        <w:t>Исследования проводили методом выборочного обследования хозяйств-представителей на наличие внутрихозяйственных отношений между администрацией и первичными подразделениями (распределение функций управления, распоряжения продукцией, доходом) с целью определения особенностей внутрихозяйственных экономических отношений перспективных организационно-правовых форм хозяйствования. В большинстве аграрных предприятий Камчатского края используют отдельные элементы хозяйственного расчета. В среднем по группе предприятий, в которых присутствуют элементы хозрасчета, доход на 1 работника выше, чем в группе, где их не применяют, на 81,3 %, чистая прибыль на 1 работника - в 5,8 раз, рентабельность реализованной продукции - на 17,8 %.</w:t>
      </w:r>
    </w:p>
    <w:p w:rsidR="009452E5" w:rsidRDefault="009452E5" w:rsidP="00B73920">
      <w:pPr>
        <w:pStyle w:val="a3"/>
        <w:ind w:firstLine="709"/>
        <w:jc w:val="both"/>
        <w:rPr>
          <w:rFonts w:ascii="Times New Roman" w:hAnsi="Times New Roman" w:cs="Times New Roman"/>
          <w:sz w:val="24"/>
        </w:rPr>
      </w:pPr>
    </w:p>
    <w:p w:rsidR="009452E5" w:rsidRPr="009452E5" w:rsidRDefault="009452E5" w:rsidP="009452E5">
      <w:pPr>
        <w:pStyle w:val="a3"/>
        <w:ind w:firstLine="709"/>
        <w:jc w:val="both"/>
        <w:rPr>
          <w:rFonts w:ascii="Times New Roman" w:hAnsi="Times New Roman" w:cs="Times New Roman"/>
          <w:sz w:val="28"/>
        </w:rPr>
      </w:pPr>
      <w:proofErr w:type="spellStart"/>
      <w:r w:rsidRPr="009452E5">
        <w:rPr>
          <w:rFonts w:ascii="Times New Roman" w:hAnsi="Times New Roman" w:cs="Times New Roman"/>
          <w:sz w:val="28"/>
        </w:rPr>
        <w:t>Хазеев</w:t>
      </w:r>
      <w:proofErr w:type="spellEnd"/>
      <w:r>
        <w:rPr>
          <w:rFonts w:ascii="Times New Roman" w:hAnsi="Times New Roman" w:cs="Times New Roman"/>
          <w:sz w:val="28"/>
        </w:rPr>
        <w:t>,</w:t>
      </w:r>
      <w:r w:rsidRPr="009452E5">
        <w:rPr>
          <w:rFonts w:ascii="Times New Roman" w:hAnsi="Times New Roman" w:cs="Times New Roman"/>
          <w:sz w:val="28"/>
        </w:rPr>
        <w:t xml:space="preserve"> Л.</w:t>
      </w:r>
      <w:r>
        <w:rPr>
          <w:rFonts w:ascii="Times New Roman" w:hAnsi="Times New Roman" w:cs="Times New Roman"/>
          <w:sz w:val="28"/>
        </w:rPr>
        <w:t xml:space="preserve"> </w:t>
      </w:r>
      <w:r w:rsidRPr="009452E5">
        <w:rPr>
          <w:rFonts w:ascii="Times New Roman" w:hAnsi="Times New Roman" w:cs="Times New Roman"/>
          <w:sz w:val="28"/>
        </w:rPr>
        <w:t>Ф. Методологические основы адаптационного управления рисками на предприятиях АПК / Л.</w:t>
      </w:r>
      <w:r>
        <w:rPr>
          <w:rFonts w:ascii="Times New Roman" w:hAnsi="Times New Roman" w:cs="Times New Roman"/>
          <w:sz w:val="28"/>
        </w:rPr>
        <w:t xml:space="preserve"> </w:t>
      </w:r>
      <w:r w:rsidRPr="009452E5">
        <w:rPr>
          <w:rFonts w:ascii="Times New Roman" w:hAnsi="Times New Roman" w:cs="Times New Roman"/>
          <w:sz w:val="28"/>
        </w:rPr>
        <w:t xml:space="preserve">Ф. </w:t>
      </w:r>
      <w:proofErr w:type="spellStart"/>
      <w:r w:rsidRPr="009452E5">
        <w:rPr>
          <w:rFonts w:ascii="Times New Roman" w:hAnsi="Times New Roman" w:cs="Times New Roman"/>
          <w:sz w:val="28"/>
        </w:rPr>
        <w:t>Хазеев</w:t>
      </w:r>
      <w:proofErr w:type="spellEnd"/>
      <w:r w:rsidRPr="009452E5">
        <w:rPr>
          <w:rFonts w:ascii="Times New Roman" w:hAnsi="Times New Roman" w:cs="Times New Roman"/>
          <w:sz w:val="28"/>
        </w:rPr>
        <w:t xml:space="preserve"> // </w:t>
      </w:r>
      <w:proofErr w:type="spellStart"/>
      <w:r w:rsidRPr="009452E5">
        <w:rPr>
          <w:rFonts w:ascii="Times New Roman" w:hAnsi="Times New Roman" w:cs="Times New Roman"/>
          <w:sz w:val="28"/>
        </w:rPr>
        <w:t>Вестн</w:t>
      </w:r>
      <w:proofErr w:type="spellEnd"/>
      <w:r w:rsidRPr="009452E5">
        <w:rPr>
          <w:rFonts w:ascii="Times New Roman" w:hAnsi="Times New Roman" w:cs="Times New Roman"/>
          <w:sz w:val="28"/>
        </w:rPr>
        <w:t xml:space="preserve">. Казанского гос. </w:t>
      </w:r>
      <w:proofErr w:type="spellStart"/>
      <w:r w:rsidRPr="009452E5">
        <w:rPr>
          <w:rFonts w:ascii="Times New Roman" w:hAnsi="Times New Roman" w:cs="Times New Roman"/>
          <w:sz w:val="28"/>
        </w:rPr>
        <w:t>аграр</w:t>
      </w:r>
      <w:proofErr w:type="spellEnd"/>
      <w:r w:rsidRPr="009452E5">
        <w:rPr>
          <w:rFonts w:ascii="Times New Roman" w:hAnsi="Times New Roman" w:cs="Times New Roman"/>
          <w:sz w:val="28"/>
        </w:rPr>
        <w:t>. ун-та. – 2018. – Т. 13</w:t>
      </w:r>
      <w:r w:rsidR="00366D0D">
        <w:rPr>
          <w:rFonts w:ascii="Times New Roman" w:hAnsi="Times New Roman" w:cs="Times New Roman"/>
          <w:sz w:val="28"/>
        </w:rPr>
        <w:t>,</w:t>
      </w:r>
      <w:r w:rsidRPr="009452E5">
        <w:rPr>
          <w:rFonts w:ascii="Times New Roman" w:hAnsi="Times New Roman" w:cs="Times New Roman"/>
          <w:sz w:val="28"/>
        </w:rPr>
        <w:t xml:space="preserve"> №2. – С. 178–181.</w:t>
      </w:r>
    </w:p>
    <w:p w:rsidR="009452E5" w:rsidRPr="009452E5" w:rsidRDefault="009452E5" w:rsidP="009452E5">
      <w:pPr>
        <w:pStyle w:val="a3"/>
        <w:ind w:firstLine="709"/>
        <w:jc w:val="both"/>
        <w:rPr>
          <w:rFonts w:ascii="Times New Roman" w:hAnsi="Times New Roman" w:cs="Times New Roman"/>
          <w:sz w:val="24"/>
        </w:rPr>
      </w:pPr>
      <w:r w:rsidRPr="009452E5">
        <w:rPr>
          <w:rFonts w:ascii="Times New Roman" w:hAnsi="Times New Roman" w:cs="Times New Roman"/>
          <w:sz w:val="24"/>
        </w:rPr>
        <w:t>Ужесточение конкурентной борьбы, развитие технологий, усложнение систем управления – все это связано с появлением новых рисков для организаций, что требует повышения качества управления предприятием. Одним из основных элементов управления предприятием является управление рисками. Управление рисками состоит из двух основных элементов: оценка рисков (внешних и внутренних угроз) предприятия и формирование механизма защиты от рисков. В целях роста аграрного сектора экономики необходимо привлечение внешних инвестиций. Инвестиции сопряжены с рисками, поэтому оценка рисков при инвестициях в АПК является крайне важным направлением. На данный момент существуют две основные группы методов оценки рисков: качественные и количественные методы оценки рисков. Система управления рисками в АПК должна быть адаптирована согласно специфике данной отрасли в целях повышения эффективности реализации данных мероприятий. В целях практического рассмотрения: было предложено изучить возможность применения адаптационных инструментов на примере предприятия АО «</w:t>
      </w:r>
      <w:proofErr w:type="spellStart"/>
      <w:r w:rsidRPr="009452E5">
        <w:rPr>
          <w:rFonts w:ascii="Times New Roman" w:hAnsi="Times New Roman" w:cs="Times New Roman"/>
          <w:sz w:val="24"/>
        </w:rPr>
        <w:t>Нэфис-Биопродукт</w:t>
      </w:r>
      <w:proofErr w:type="spellEnd"/>
      <w:r w:rsidRPr="009452E5">
        <w:rPr>
          <w:rFonts w:ascii="Times New Roman" w:hAnsi="Times New Roman" w:cs="Times New Roman"/>
          <w:sz w:val="24"/>
        </w:rPr>
        <w:t>».</w:t>
      </w:r>
    </w:p>
    <w:p w:rsidR="00B73920" w:rsidRDefault="00B73920" w:rsidP="00B73920">
      <w:pPr>
        <w:spacing w:after="0" w:line="240" w:lineRule="auto"/>
        <w:ind w:left="720"/>
        <w:rPr>
          <w:rFonts w:eastAsia="Times New Roman"/>
        </w:rPr>
      </w:pPr>
    </w:p>
    <w:p w:rsidR="00B73920" w:rsidRPr="00366D0D" w:rsidRDefault="00B73920" w:rsidP="00B73920">
      <w:pPr>
        <w:pStyle w:val="a3"/>
        <w:ind w:firstLine="709"/>
        <w:jc w:val="both"/>
        <w:rPr>
          <w:rFonts w:ascii="Times New Roman" w:hAnsi="Times New Roman" w:cs="Times New Roman"/>
          <w:sz w:val="28"/>
        </w:rPr>
      </w:pPr>
      <w:proofErr w:type="spellStart"/>
      <w:r w:rsidRPr="00366D0D">
        <w:rPr>
          <w:rFonts w:ascii="Times New Roman" w:hAnsi="Times New Roman" w:cs="Times New Roman"/>
          <w:sz w:val="28"/>
        </w:rPr>
        <w:t>Янбых</w:t>
      </w:r>
      <w:proofErr w:type="spellEnd"/>
      <w:r w:rsidRPr="00366D0D">
        <w:rPr>
          <w:rFonts w:ascii="Times New Roman" w:hAnsi="Times New Roman" w:cs="Times New Roman"/>
          <w:sz w:val="28"/>
        </w:rPr>
        <w:t xml:space="preserve">, Р. Г. Есть ли у сельскохозяйственных потребительских кооперативов возможности расширения членской базы: что говорят итоги ВСХП-2016? / Р. Г. </w:t>
      </w:r>
      <w:proofErr w:type="spellStart"/>
      <w:r w:rsidRPr="00366D0D">
        <w:rPr>
          <w:rFonts w:ascii="Times New Roman" w:hAnsi="Times New Roman" w:cs="Times New Roman"/>
          <w:sz w:val="28"/>
        </w:rPr>
        <w:t>Янбых</w:t>
      </w:r>
      <w:proofErr w:type="spellEnd"/>
      <w:r w:rsidRPr="00366D0D">
        <w:rPr>
          <w:rFonts w:ascii="Times New Roman" w:hAnsi="Times New Roman" w:cs="Times New Roman"/>
          <w:sz w:val="28"/>
        </w:rPr>
        <w:t xml:space="preserve"> // Экономика с.-х. и </w:t>
      </w:r>
      <w:proofErr w:type="spellStart"/>
      <w:r w:rsidRPr="00366D0D">
        <w:rPr>
          <w:rFonts w:ascii="Times New Roman" w:hAnsi="Times New Roman" w:cs="Times New Roman"/>
          <w:sz w:val="28"/>
        </w:rPr>
        <w:t>перерабат</w:t>
      </w:r>
      <w:proofErr w:type="spellEnd"/>
      <w:r w:rsidRPr="00366D0D">
        <w:rPr>
          <w:rFonts w:ascii="Times New Roman" w:hAnsi="Times New Roman" w:cs="Times New Roman"/>
          <w:sz w:val="28"/>
        </w:rPr>
        <w:t>. предприятий. – 2018. –</w:t>
      </w:r>
      <w:r w:rsidR="00366D0D" w:rsidRPr="00366D0D">
        <w:rPr>
          <w:rFonts w:ascii="Times New Roman" w:hAnsi="Times New Roman" w:cs="Times New Roman"/>
          <w:sz w:val="28"/>
        </w:rPr>
        <w:t xml:space="preserve"> №</w:t>
      </w:r>
      <w:r w:rsidRPr="00366D0D">
        <w:rPr>
          <w:rFonts w:ascii="Times New Roman" w:hAnsi="Times New Roman" w:cs="Times New Roman"/>
          <w:sz w:val="28"/>
        </w:rPr>
        <w:t xml:space="preserve"> 5. – С. 44–49</w:t>
      </w:r>
      <w:proofErr w:type="gramStart"/>
      <w:r w:rsidRPr="00366D0D">
        <w:rPr>
          <w:rFonts w:ascii="Times New Roman" w:hAnsi="Times New Roman" w:cs="Times New Roman"/>
          <w:sz w:val="28"/>
        </w:rPr>
        <w:t xml:space="preserve"> :</w:t>
      </w:r>
      <w:proofErr w:type="gramEnd"/>
      <w:r w:rsidRPr="00366D0D">
        <w:rPr>
          <w:rFonts w:ascii="Times New Roman" w:hAnsi="Times New Roman" w:cs="Times New Roman"/>
          <w:sz w:val="28"/>
        </w:rPr>
        <w:t xml:space="preserve"> 6 табл. </w:t>
      </w:r>
    </w:p>
    <w:p w:rsidR="00B73920" w:rsidRPr="008D21E7" w:rsidRDefault="00B73920" w:rsidP="00B73920">
      <w:pPr>
        <w:pStyle w:val="a3"/>
        <w:ind w:firstLine="709"/>
        <w:jc w:val="both"/>
        <w:rPr>
          <w:rFonts w:ascii="Times New Roman" w:hAnsi="Times New Roman" w:cs="Times New Roman"/>
          <w:sz w:val="24"/>
        </w:rPr>
      </w:pPr>
      <w:r w:rsidRPr="008D21E7">
        <w:rPr>
          <w:rFonts w:ascii="Times New Roman" w:hAnsi="Times New Roman" w:cs="Times New Roman"/>
          <w:sz w:val="24"/>
        </w:rPr>
        <w:t>Дается анализ предварительных итогов ВСХП-2016, касающихся всех малых форм хозяйствования в сельском хозяйстве - основы членской базы сельскохозяйственной потребительской кооперации на селе. Сделан вывод, что определенным потенциалом кооперирования обладают свыше 13 миллионов товарных хозяйств населения. Он выше у крестьянских (фермерских) хозяйств и ниже - у личных подсобных. В отраслевом разрезе потенциал выше по молоку, овощам, картофелю и мясу. Социологические исследования показывают высокую готовность крестьян к кооперированию.</w:t>
      </w:r>
    </w:p>
    <w:p w:rsidR="00B73920" w:rsidRDefault="00B73920" w:rsidP="00B73920">
      <w:pPr>
        <w:spacing w:after="0" w:line="240" w:lineRule="auto"/>
        <w:ind w:left="720"/>
        <w:rPr>
          <w:rFonts w:eastAsia="Times New Roman"/>
        </w:rPr>
      </w:pPr>
    </w:p>
    <w:p w:rsidR="00016331" w:rsidRDefault="00016331" w:rsidP="00016331">
      <w:pPr>
        <w:pStyle w:val="a3"/>
        <w:widowControl w:val="0"/>
        <w:ind w:firstLine="709"/>
        <w:jc w:val="center"/>
        <w:rPr>
          <w:rFonts w:ascii="Times New Roman" w:hAnsi="Times New Roman" w:cs="Times New Roman"/>
          <w:b/>
          <w:sz w:val="28"/>
        </w:rPr>
      </w:pPr>
    </w:p>
    <w:p w:rsidR="00016331" w:rsidRDefault="00B73920" w:rsidP="00016331">
      <w:pPr>
        <w:pStyle w:val="a3"/>
        <w:widowControl w:val="0"/>
        <w:ind w:firstLine="709"/>
        <w:jc w:val="center"/>
        <w:rPr>
          <w:rFonts w:ascii="Times New Roman" w:hAnsi="Times New Roman" w:cs="Times New Roman"/>
          <w:b/>
          <w:sz w:val="28"/>
        </w:rPr>
      </w:pPr>
      <w:r w:rsidRPr="00992B04">
        <w:rPr>
          <w:rFonts w:ascii="Times New Roman" w:hAnsi="Times New Roman" w:cs="Times New Roman"/>
          <w:b/>
          <w:sz w:val="28"/>
        </w:rPr>
        <w:lastRenderedPageBreak/>
        <w:t>Экономика животноводства</w:t>
      </w:r>
    </w:p>
    <w:p w:rsidR="00B73920" w:rsidRPr="00FF457A" w:rsidRDefault="00B73920" w:rsidP="00016331">
      <w:pPr>
        <w:pStyle w:val="a3"/>
        <w:widowControl w:val="0"/>
        <w:ind w:firstLine="709"/>
        <w:jc w:val="both"/>
        <w:rPr>
          <w:rFonts w:ascii="Times New Roman" w:hAnsi="Times New Roman" w:cs="Times New Roman"/>
          <w:sz w:val="28"/>
        </w:rPr>
      </w:pPr>
      <w:r w:rsidRPr="00FF457A">
        <w:rPr>
          <w:rFonts w:ascii="Times New Roman" w:hAnsi="Times New Roman" w:cs="Times New Roman"/>
          <w:sz w:val="28"/>
        </w:rPr>
        <w:t>Алексеев, К. И. Текущая политика государственного стимулирования технической и технологической модернизации животноводства на федеральном уровне / К. И. Алексеев, А. Н. Осипов, В. К. Девин // Экономика с.-х. и перерабат</w:t>
      </w:r>
      <w:r w:rsidR="008A6958">
        <w:rPr>
          <w:rFonts w:ascii="Times New Roman" w:hAnsi="Times New Roman" w:cs="Times New Roman"/>
          <w:sz w:val="28"/>
        </w:rPr>
        <w:t>.</w:t>
      </w:r>
      <w:bookmarkStart w:id="0" w:name="_GoBack"/>
      <w:bookmarkEnd w:id="0"/>
      <w:r w:rsidRPr="00FF457A">
        <w:rPr>
          <w:rFonts w:ascii="Times New Roman" w:hAnsi="Times New Roman" w:cs="Times New Roman"/>
          <w:sz w:val="28"/>
        </w:rPr>
        <w:t xml:space="preserve"> предприятий. – 2018. – № 6. – С. 9–12.</w:t>
      </w:r>
    </w:p>
    <w:p w:rsidR="00B73920" w:rsidRDefault="00B73920" w:rsidP="00B73920">
      <w:pPr>
        <w:pStyle w:val="a3"/>
        <w:ind w:firstLine="709"/>
        <w:jc w:val="both"/>
        <w:rPr>
          <w:lang w:eastAsia="ru-RU"/>
        </w:rPr>
      </w:pPr>
      <w:r w:rsidRPr="00FF457A">
        <w:rPr>
          <w:rFonts w:ascii="Times New Roman" w:hAnsi="Times New Roman" w:cs="Times New Roman"/>
          <w:sz w:val="24"/>
        </w:rPr>
        <w:t xml:space="preserve">Исследование посвящено изменениям в системе государственного стимулирования технической и технологической модернизации животноводства в России на федеральном уровне, произошедшим в 2017 и 2018 гг. В статье приведены данные о федеральной поддержке, содержащиеся в принятых официальных документах. При обсуждении текущей ситуации использованы данные Минсельхоза России, </w:t>
      </w:r>
      <w:proofErr w:type="spellStart"/>
      <w:r w:rsidRPr="00FF457A">
        <w:rPr>
          <w:rFonts w:ascii="Times New Roman" w:hAnsi="Times New Roman" w:cs="Times New Roman"/>
          <w:sz w:val="24"/>
        </w:rPr>
        <w:t>Минпромторга</w:t>
      </w:r>
      <w:proofErr w:type="spellEnd"/>
      <w:r w:rsidRPr="00FF457A">
        <w:rPr>
          <w:rFonts w:ascii="Times New Roman" w:hAnsi="Times New Roman" w:cs="Times New Roman"/>
          <w:sz w:val="24"/>
        </w:rPr>
        <w:t xml:space="preserve"> России, Ассоциации «</w:t>
      </w:r>
      <w:proofErr w:type="spellStart"/>
      <w:r w:rsidRPr="00FF457A">
        <w:rPr>
          <w:rFonts w:ascii="Times New Roman" w:hAnsi="Times New Roman" w:cs="Times New Roman"/>
          <w:sz w:val="24"/>
        </w:rPr>
        <w:t>Росспецмаш</w:t>
      </w:r>
      <w:proofErr w:type="spellEnd"/>
      <w:r w:rsidRPr="00FF457A">
        <w:rPr>
          <w:rFonts w:ascii="Times New Roman" w:hAnsi="Times New Roman" w:cs="Times New Roman"/>
          <w:sz w:val="24"/>
        </w:rPr>
        <w:t>», АО «</w:t>
      </w:r>
      <w:proofErr w:type="spellStart"/>
      <w:r w:rsidRPr="00FF457A">
        <w:rPr>
          <w:rFonts w:ascii="Times New Roman" w:hAnsi="Times New Roman" w:cs="Times New Roman"/>
          <w:sz w:val="24"/>
        </w:rPr>
        <w:t>Росагролизинг</w:t>
      </w:r>
      <w:proofErr w:type="spellEnd"/>
      <w:r w:rsidRPr="00FF457A">
        <w:rPr>
          <w:rFonts w:ascii="Times New Roman" w:hAnsi="Times New Roman" w:cs="Times New Roman"/>
          <w:sz w:val="24"/>
        </w:rPr>
        <w:t xml:space="preserve">» и ТАСС, а также материалы Всероссийского совещания </w:t>
      </w:r>
      <w:proofErr w:type="spellStart"/>
      <w:r w:rsidRPr="00FF457A">
        <w:rPr>
          <w:rFonts w:ascii="Times New Roman" w:hAnsi="Times New Roman" w:cs="Times New Roman"/>
          <w:sz w:val="24"/>
        </w:rPr>
        <w:t>агроинженерных</w:t>
      </w:r>
      <w:proofErr w:type="spellEnd"/>
      <w:r w:rsidRPr="00FF457A">
        <w:rPr>
          <w:rFonts w:ascii="Times New Roman" w:hAnsi="Times New Roman" w:cs="Times New Roman"/>
          <w:sz w:val="24"/>
        </w:rPr>
        <w:t xml:space="preserve"> служб (2017 г.), XXVIII съезда АККОР и ряда других отраслевых мероприятий</w:t>
      </w:r>
      <w:r w:rsidRPr="00655054">
        <w:rPr>
          <w:lang w:eastAsia="ru-RU"/>
        </w:rPr>
        <w:t xml:space="preserve">. </w:t>
      </w:r>
    </w:p>
    <w:p w:rsidR="00B73920" w:rsidRDefault="00B73920" w:rsidP="00B73920">
      <w:pPr>
        <w:pStyle w:val="a3"/>
        <w:ind w:firstLine="709"/>
        <w:jc w:val="both"/>
        <w:rPr>
          <w:rFonts w:ascii="Times New Roman" w:hAnsi="Times New Roman" w:cs="Times New Roman"/>
          <w:sz w:val="24"/>
          <w:lang w:eastAsia="ru-RU"/>
        </w:rPr>
      </w:pPr>
    </w:p>
    <w:p w:rsidR="004C6506" w:rsidRPr="004C6506" w:rsidRDefault="004C6506" w:rsidP="004C6506">
      <w:pPr>
        <w:pStyle w:val="a3"/>
        <w:ind w:firstLine="709"/>
        <w:jc w:val="both"/>
        <w:rPr>
          <w:rFonts w:ascii="Times New Roman" w:hAnsi="Times New Roman" w:cs="Times New Roman"/>
          <w:sz w:val="28"/>
        </w:rPr>
      </w:pPr>
      <w:r w:rsidRPr="004C6506">
        <w:rPr>
          <w:rFonts w:ascii="Times New Roman" w:hAnsi="Times New Roman" w:cs="Times New Roman"/>
          <w:sz w:val="28"/>
        </w:rPr>
        <w:t>Кириллова</w:t>
      </w:r>
      <w:r>
        <w:rPr>
          <w:rFonts w:ascii="Times New Roman" w:hAnsi="Times New Roman" w:cs="Times New Roman"/>
          <w:sz w:val="28"/>
        </w:rPr>
        <w:t>,</w:t>
      </w:r>
      <w:r w:rsidRPr="004C6506">
        <w:rPr>
          <w:rFonts w:ascii="Times New Roman" w:hAnsi="Times New Roman" w:cs="Times New Roman"/>
          <w:sz w:val="28"/>
        </w:rPr>
        <w:t xml:space="preserve"> О.</w:t>
      </w:r>
      <w:r>
        <w:rPr>
          <w:rFonts w:ascii="Times New Roman" w:hAnsi="Times New Roman" w:cs="Times New Roman"/>
          <w:sz w:val="28"/>
        </w:rPr>
        <w:t xml:space="preserve"> </w:t>
      </w:r>
      <w:r w:rsidRPr="004C6506">
        <w:rPr>
          <w:rFonts w:ascii="Times New Roman" w:hAnsi="Times New Roman" w:cs="Times New Roman"/>
          <w:sz w:val="28"/>
        </w:rPr>
        <w:t xml:space="preserve">В. О реализации политики </w:t>
      </w:r>
      <w:proofErr w:type="spellStart"/>
      <w:r w:rsidRPr="004C6506">
        <w:rPr>
          <w:rFonts w:ascii="Times New Roman" w:hAnsi="Times New Roman" w:cs="Times New Roman"/>
          <w:sz w:val="28"/>
        </w:rPr>
        <w:t>импортозамещения</w:t>
      </w:r>
      <w:proofErr w:type="spellEnd"/>
      <w:r w:rsidRPr="004C6506">
        <w:rPr>
          <w:rFonts w:ascii="Times New Roman" w:hAnsi="Times New Roman" w:cs="Times New Roman"/>
          <w:sz w:val="28"/>
        </w:rPr>
        <w:t xml:space="preserve"> в Российской Федерации (на примере молочной отрасли Республики Татарстан)</w:t>
      </w:r>
      <w:r>
        <w:rPr>
          <w:rFonts w:ascii="Times New Roman" w:hAnsi="Times New Roman" w:cs="Times New Roman"/>
          <w:sz w:val="28"/>
        </w:rPr>
        <w:t xml:space="preserve"> / </w:t>
      </w:r>
      <w:r w:rsidRPr="004C6506">
        <w:rPr>
          <w:rFonts w:ascii="Times New Roman" w:hAnsi="Times New Roman" w:cs="Times New Roman"/>
          <w:sz w:val="28"/>
        </w:rPr>
        <w:t>О.</w:t>
      </w:r>
      <w:r>
        <w:rPr>
          <w:rFonts w:ascii="Times New Roman" w:hAnsi="Times New Roman" w:cs="Times New Roman"/>
          <w:sz w:val="28"/>
        </w:rPr>
        <w:t xml:space="preserve"> </w:t>
      </w:r>
      <w:r w:rsidRPr="004C6506">
        <w:rPr>
          <w:rFonts w:ascii="Times New Roman" w:hAnsi="Times New Roman" w:cs="Times New Roman"/>
          <w:sz w:val="28"/>
        </w:rPr>
        <w:t xml:space="preserve">В. Кириллова // </w:t>
      </w:r>
      <w:proofErr w:type="spellStart"/>
      <w:r w:rsidRPr="004C6506">
        <w:rPr>
          <w:rFonts w:ascii="Times New Roman" w:hAnsi="Times New Roman" w:cs="Times New Roman"/>
          <w:sz w:val="28"/>
        </w:rPr>
        <w:t>Вестн</w:t>
      </w:r>
      <w:proofErr w:type="spellEnd"/>
      <w:r w:rsidRPr="004C6506">
        <w:rPr>
          <w:rFonts w:ascii="Times New Roman" w:hAnsi="Times New Roman" w:cs="Times New Roman"/>
          <w:sz w:val="28"/>
        </w:rPr>
        <w:t xml:space="preserve">. Казанского гос. </w:t>
      </w:r>
      <w:proofErr w:type="spellStart"/>
      <w:r w:rsidRPr="004C6506">
        <w:rPr>
          <w:rFonts w:ascii="Times New Roman" w:hAnsi="Times New Roman" w:cs="Times New Roman"/>
          <w:sz w:val="28"/>
        </w:rPr>
        <w:t>аграр</w:t>
      </w:r>
      <w:proofErr w:type="spellEnd"/>
      <w:r w:rsidRPr="004C6506">
        <w:rPr>
          <w:rFonts w:ascii="Times New Roman" w:hAnsi="Times New Roman" w:cs="Times New Roman"/>
          <w:sz w:val="28"/>
        </w:rPr>
        <w:t>. ун-та. – 2018. – Т. 13</w:t>
      </w:r>
      <w:r w:rsidR="00366D0D">
        <w:rPr>
          <w:rFonts w:ascii="Times New Roman" w:hAnsi="Times New Roman" w:cs="Times New Roman"/>
          <w:sz w:val="28"/>
        </w:rPr>
        <w:t>,</w:t>
      </w:r>
      <w:r w:rsidRPr="004C6506">
        <w:rPr>
          <w:rFonts w:ascii="Times New Roman" w:hAnsi="Times New Roman" w:cs="Times New Roman"/>
          <w:sz w:val="28"/>
        </w:rPr>
        <w:t xml:space="preserve"> №</w:t>
      </w:r>
      <w:r w:rsidR="00366D0D">
        <w:rPr>
          <w:rFonts w:ascii="Times New Roman" w:hAnsi="Times New Roman" w:cs="Times New Roman"/>
          <w:sz w:val="28"/>
        </w:rPr>
        <w:t xml:space="preserve"> </w:t>
      </w:r>
      <w:r w:rsidRPr="004C6506">
        <w:rPr>
          <w:rFonts w:ascii="Times New Roman" w:hAnsi="Times New Roman" w:cs="Times New Roman"/>
          <w:sz w:val="28"/>
        </w:rPr>
        <w:t>2. – С. 151–154.</w:t>
      </w:r>
    </w:p>
    <w:p w:rsidR="004C6506" w:rsidRDefault="004C6506" w:rsidP="00B73920">
      <w:pPr>
        <w:pStyle w:val="a3"/>
        <w:ind w:firstLine="709"/>
        <w:jc w:val="both"/>
        <w:rPr>
          <w:rFonts w:ascii="Times New Roman" w:hAnsi="Times New Roman" w:cs="Times New Roman"/>
          <w:sz w:val="24"/>
          <w:lang w:eastAsia="ru-RU"/>
        </w:rPr>
      </w:pPr>
    </w:p>
    <w:p w:rsidR="00B73920" w:rsidRPr="00366D0D" w:rsidRDefault="00B73920" w:rsidP="00B73920">
      <w:pPr>
        <w:pStyle w:val="a3"/>
        <w:ind w:firstLine="709"/>
        <w:jc w:val="both"/>
        <w:rPr>
          <w:rFonts w:ascii="Times New Roman" w:hAnsi="Times New Roman" w:cs="Times New Roman"/>
          <w:sz w:val="28"/>
        </w:rPr>
      </w:pPr>
      <w:r w:rsidRPr="00366D0D">
        <w:rPr>
          <w:rFonts w:ascii="Times New Roman" w:hAnsi="Times New Roman" w:cs="Times New Roman"/>
          <w:sz w:val="28"/>
        </w:rPr>
        <w:t xml:space="preserve">Кудрявцева, Л. Н. Меры государственной поддержки мясного скотоводства в рамках государственной программы развития сельского хозяйства на 2013-2020 годы / Л. Н. Кудрявцева // Экономика с.-х. и </w:t>
      </w:r>
      <w:proofErr w:type="spellStart"/>
      <w:r w:rsidRPr="00366D0D">
        <w:rPr>
          <w:rFonts w:ascii="Times New Roman" w:hAnsi="Times New Roman" w:cs="Times New Roman"/>
          <w:sz w:val="28"/>
        </w:rPr>
        <w:t>перерабат</w:t>
      </w:r>
      <w:proofErr w:type="spellEnd"/>
      <w:r w:rsidRPr="00366D0D">
        <w:rPr>
          <w:rFonts w:ascii="Times New Roman" w:hAnsi="Times New Roman" w:cs="Times New Roman"/>
          <w:sz w:val="28"/>
        </w:rPr>
        <w:t>. предприятий. – 2018. – № 5. – С. 40–43</w:t>
      </w:r>
      <w:proofErr w:type="gramStart"/>
      <w:r w:rsidRPr="00366D0D">
        <w:rPr>
          <w:rFonts w:ascii="Times New Roman" w:hAnsi="Times New Roman" w:cs="Times New Roman"/>
          <w:sz w:val="28"/>
        </w:rPr>
        <w:t xml:space="preserve"> :</w:t>
      </w:r>
      <w:proofErr w:type="gramEnd"/>
      <w:r w:rsidRPr="00366D0D">
        <w:rPr>
          <w:rFonts w:ascii="Times New Roman" w:hAnsi="Times New Roman" w:cs="Times New Roman"/>
          <w:sz w:val="28"/>
        </w:rPr>
        <w:t xml:space="preserve"> 4 табл. </w:t>
      </w:r>
    </w:p>
    <w:p w:rsidR="00B73920" w:rsidRDefault="00B73920" w:rsidP="00366D0D">
      <w:pPr>
        <w:pStyle w:val="a3"/>
        <w:ind w:firstLine="709"/>
        <w:jc w:val="both"/>
        <w:rPr>
          <w:rFonts w:ascii="Times New Roman" w:hAnsi="Times New Roman" w:cs="Times New Roman"/>
          <w:sz w:val="24"/>
        </w:rPr>
      </w:pPr>
      <w:r w:rsidRPr="008D21E7">
        <w:rPr>
          <w:rFonts w:ascii="Times New Roman" w:hAnsi="Times New Roman" w:cs="Times New Roman"/>
          <w:sz w:val="24"/>
        </w:rPr>
        <w:t xml:space="preserve">В статье рассмотрены динамика развития мясного скотоводства, его ресурсное обеспечение в рамках Госпрограммы развития сельского хозяйства и регулирования рынков сельскохозяйственной продукции, сырья и продовольствия на 2013-2020 годы, механизмы и меры поддержки данного направления. </w:t>
      </w:r>
      <w:proofErr w:type="gramStart"/>
      <w:r w:rsidRPr="008D21E7">
        <w:rPr>
          <w:rFonts w:ascii="Times New Roman" w:hAnsi="Times New Roman" w:cs="Times New Roman"/>
          <w:sz w:val="24"/>
        </w:rPr>
        <w:t>Проведен анализ финансирования и распределения денежных средств, направленных на государственную поддержку развития мясного скотоводства из федерального и региональных бюджетов.</w:t>
      </w:r>
      <w:proofErr w:type="gramEnd"/>
    </w:p>
    <w:p w:rsidR="00B73920" w:rsidRPr="008D21E7" w:rsidRDefault="00B73920" w:rsidP="00B73920">
      <w:pPr>
        <w:pStyle w:val="a3"/>
        <w:ind w:firstLine="709"/>
        <w:rPr>
          <w:rFonts w:ascii="Times New Roman" w:hAnsi="Times New Roman" w:cs="Times New Roman"/>
          <w:sz w:val="24"/>
        </w:rPr>
      </w:pPr>
    </w:p>
    <w:p w:rsidR="00B73920" w:rsidRPr="00242F7F" w:rsidRDefault="00B73920" w:rsidP="00B73920">
      <w:pPr>
        <w:pStyle w:val="a3"/>
        <w:ind w:firstLine="709"/>
        <w:jc w:val="both"/>
        <w:rPr>
          <w:rFonts w:ascii="Times New Roman" w:hAnsi="Times New Roman" w:cs="Times New Roman"/>
          <w:sz w:val="28"/>
        </w:rPr>
      </w:pPr>
      <w:r w:rsidRPr="00242F7F">
        <w:rPr>
          <w:rFonts w:ascii="Times New Roman" w:hAnsi="Times New Roman" w:cs="Times New Roman"/>
          <w:sz w:val="28"/>
        </w:rPr>
        <w:t xml:space="preserve">Проектирование структуры использования пашни для хозяйств </w:t>
      </w:r>
      <w:proofErr w:type="gramStart"/>
      <w:r w:rsidRPr="00242F7F">
        <w:rPr>
          <w:rFonts w:ascii="Times New Roman" w:hAnsi="Times New Roman" w:cs="Times New Roman"/>
          <w:sz w:val="28"/>
        </w:rPr>
        <w:t>зерно-животноводческой</w:t>
      </w:r>
      <w:proofErr w:type="gramEnd"/>
      <w:r w:rsidRPr="00242F7F">
        <w:rPr>
          <w:rFonts w:ascii="Times New Roman" w:hAnsi="Times New Roman" w:cs="Times New Roman"/>
          <w:sz w:val="28"/>
        </w:rPr>
        <w:t xml:space="preserve"> специализации / О. В.</w:t>
      </w:r>
      <w:r>
        <w:rPr>
          <w:rFonts w:ascii="Times New Roman" w:hAnsi="Times New Roman" w:cs="Times New Roman"/>
          <w:sz w:val="28"/>
        </w:rPr>
        <w:t xml:space="preserve"> </w:t>
      </w:r>
      <w:r w:rsidRPr="00242F7F">
        <w:rPr>
          <w:rFonts w:ascii="Times New Roman" w:hAnsi="Times New Roman" w:cs="Times New Roman"/>
          <w:sz w:val="28"/>
        </w:rPr>
        <w:t>Сметанина [</w:t>
      </w:r>
      <w:r>
        <w:rPr>
          <w:rFonts w:ascii="Times New Roman" w:hAnsi="Times New Roman" w:cs="Times New Roman"/>
          <w:sz w:val="28"/>
        </w:rPr>
        <w:t>и др.</w:t>
      </w:r>
      <w:r w:rsidRPr="00242F7F">
        <w:rPr>
          <w:rFonts w:ascii="Times New Roman" w:hAnsi="Times New Roman" w:cs="Times New Roman"/>
          <w:sz w:val="28"/>
        </w:rPr>
        <w:t xml:space="preserve">] // </w:t>
      </w:r>
      <w:proofErr w:type="spellStart"/>
      <w:r w:rsidRPr="00242F7F">
        <w:rPr>
          <w:rFonts w:ascii="Times New Roman" w:hAnsi="Times New Roman" w:cs="Times New Roman"/>
          <w:sz w:val="28"/>
        </w:rPr>
        <w:t>Вестн</w:t>
      </w:r>
      <w:proofErr w:type="spellEnd"/>
      <w:r w:rsidRPr="00242F7F">
        <w:rPr>
          <w:rFonts w:ascii="Times New Roman" w:hAnsi="Times New Roman" w:cs="Times New Roman"/>
          <w:sz w:val="28"/>
        </w:rPr>
        <w:t>. АПК Ставрополья. – 2018. – № 2. – С. 170–174.</w:t>
      </w:r>
    </w:p>
    <w:p w:rsidR="00B73920" w:rsidRPr="00016331" w:rsidRDefault="00B73920" w:rsidP="00B73920">
      <w:pPr>
        <w:pStyle w:val="a3"/>
        <w:ind w:firstLine="709"/>
        <w:jc w:val="both"/>
        <w:rPr>
          <w:rFonts w:ascii="Times New Roman" w:eastAsia="Times New Roman" w:hAnsi="Times New Roman" w:cs="Times New Roman"/>
          <w:color w:val="00008F"/>
          <w:sz w:val="24"/>
        </w:rPr>
      </w:pPr>
    </w:p>
    <w:p w:rsidR="00B73920" w:rsidRPr="002578AD" w:rsidRDefault="00B73920" w:rsidP="00B73920">
      <w:pPr>
        <w:pStyle w:val="a3"/>
        <w:ind w:firstLine="709"/>
        <w:jc w:val="both"/>
        <w:rPr>
          <w:rFonts w:ascii="Times New Roman" w:hAnsi="Times New Roman" w:cs="Times New Roman"/>
          <w:sz w:val="28"/>
        </w:rPr>
      </w:pPr>
      <w:proofErr w:type="spellStart"/>
      <w:r w:rsidRPr="002578AD">
        <w:rPr>
          <w:rFonts w:ascii="Times New Roman" w:hAnsi="Times New Roman" w:cs="Times New Roman"/>
          <w:sz w:val="28"/>
        </w:rPr>
        <w:t>Стрекозов</w:t>
      </w:r>
      <w:proofErr w:type="spellEnd"/>
      <w:r w:rsidRPr="002578AD">
        <w:rPr>
          <w:rFonts w:ascii="Times New Roman" w:hAnsi="Times New Roman" w:cs="Times New Roman"/>
          <w:sz w:val="28"/>
        </w:rPr>
        <w:t xml:space="preserve">, Н. И. Направления развития молочного скотоводства России на ближайшие годы / Н. И. </w:t>
      </w:r>
      <w:proofErr w:type="spellStart"/>
      <w:r w:rsidRPr="002578AD">
        <w:rPr>
          <w:rFonts w:ascii="Times New Roman" w:hAnsi="Times New Roman" w:cs="Times New Roman"/>
          <w:sz w:val="28"/>
        </w:rPr>
        <w:t>Стрекозов</w:t>
      </w:r>
      <w:proofErr w:type="spellEnd"/>
      <w:r w:rsidRPr="002578AD">
        <w:rPr>
          <w:rFonts w:ascii="Times New Roman" w:hAnsi="Times New Roman" w:cs="Times New Roman"/>
          <w:sz w:val="28"/>
        </w:rPr>
        <w:t xml:space="preserve"> // Экономика с</w:t>
      </w:r>
      <w:r>
        <w:rPr>
          <w:rFonts w:ascii="Times New Roman" w:hAnsi="Times New Roman" w:cs="Times New Roman"/>
          <w:sz w:val="28"/>
        </w:rPr>
        <w:t>.-</w:t>
      </w:r>
      <w:r w:rsidRPr="002578AD">
        <w:rPr>
          <w:rFonts w:ascii="Times New Roman" w:hAnsi="Times New Roman" w:cs="Times New Roman"/>
          <w:sz w:val="28"/>
        </w:rPr>
        <w:t>х</w:t>
      </w:r>
      <w:r>
        <w:rPr>
          <w:rFonts w:ascii="Times New Roman" w:hAnsi="Times New Roman" w:cs="Times New Roman"/>
          <w:sz w:val="28"/>
        </w:rPr>
        <w:t>.</w:t>
      </w:r>
      <w:r w:rsidRPr="002578AD">
        <w:rPr>
          <w:rFonts w:ascii="Times New Roman" w:hAnsi="Times New Roman" w:cs="Times New Roman"/>
          <w:sz w:val="28"/>
        </w:rPr>
        <w:t xml:space="preserve"> и </w:t>
      </w:r>
      <w:proofErr w:type="spellStart"/>
      <w:r w:rsidRPr="002578AD">
        <w:rPr>
          <w:rFonts w:ascii="Times New Roman" w:hAnsi="Times New Roman" w:cs="Times New Roman"/>
          <w:sz w:val="28"/>
        </w:rPr>
        <w:t>перерабат</w:t>
      </w:r>
      <w:proofErr w:type="spellEnd"/>
      <w:r>
        <w:rPr>
          <w:rFonts w:ascii="Times New Roman" w:hAnsi="Times New Roman" w:cs="Times New Roman"/>
          <w:sz w:val="28"/>
        </w:rPr>
        <w:t>.</w:t>
      </w:r>
      <w:r w:rsidRPr="002578AD">
        <w:rPr>
          <w:rFonts w:ascii="Times New Roman" w:hAnsi="Times New Roman" w:cs="Times New Roman"/>
          <w:sz w:val="28"/>
        </w:rPr>
        <w:t xml:space="preserve"> предприятий. </w:t>
      </w:r>
      <w:r>
        <w:rPr>
          <w:rFonts w:ascii="Times New Roman" w:hAnsi="Times New Roman" w:cs="Times New Roman"/>
          <w:sz w:val="28"/>
        </w:rPr>
        <w:t>–</w:t>
      </w:r>
      <w:r w:rsidRPr="002578AD">
        <w:rPr>
          <w:rFonts w:ascii="Times New Roman" w:hAnsi="Times New Roman" w:cs="Times New Roman"/>
          <w:sz w:val="28"/>
        </w:rPr>
        <w:t xml:space="preserve"> 2018. </w:t>
      </w:r>
      <w:r>
        <w:rPr>
          <w:rFonts w:ascii="Times New Roman" w:hAnsi="Times New Roman" w:cs="Times New Roman"/>
          <w:sz w:val="28"/>
        </w:rPr>
        <w:t>– №</w:t>
      </w:r>
      <w:r w:rsidRPr="002578AD">
        <w:rPr>
          <w:rFonts w:ascii="Times New Roman" w:hAnsi="Times New Roman" w:cs="Times New Roman"/>
          <w:sz w:val="28"/>
        </w:rPr>
        <w:t xml:space="preserve"> 5. </w:t>
      </w:r>
      <w:r>
        <w:rPr>
          <w:rFonts w:ascii="Times New Roman" w:hAnsi="Times New Roman" w:cs="Times New Roman"/>
          <w:sz w:val="28"/>
        </w:rPr>
        <w:t>–</w:t>
      </w:r>
      <w:r w:rsidRPr="002578AD">
        <w:rPr>
          <w:rFonts w:ascii="Times New Roman" w:hAnsi="Times New Roman" w:cs="Times New Roman"/>
          <w:sz w:val="28"/>
        </w:rPr>
        <w:t xml:space="preserve"> С. 2</w:t>
      </w:r>
      <w:r>
        <w:rPr>
          <w:rFonts w:ascii="Times New Roman" w:hAnsi="Times New Roman" w:cs="Times New Roman"/>
          <w:sz w:val="28"/>
        </w:rPr>
        <w:t>–</w:t>
      </w:r>
      <w:r w:rsidRPr="002578AD">
        <w:rPr>
          <w:rFonts w:ascii="Times New Roman" w:hAnsi="Times New Roman" w:cs="Times New Roman"/>
          <w:sz w:val="28"/>
        </w:rPr>
        <w:t>7</w:t>
      </w:r>
      <w:proofErr w:type="gramStart"/>
      <w:r w:rsidRPr="002578AD">
        <w:rPr>
          <w:rFonts w:ascii="Times New Roman" w:hAnsi="Times New Roman" w:cs="Times New Roman"/>
          <w:sz w:val="28"/>
        </w:rPr>
        <w:t xml:space="preserve"> :</w:t>
      </w:r>
      <w:proofErr w:type="gramEnd"/>
      <w:r w:rsidRPr="002578AD">
        <w:rPr>
          <w:rFonts w:ascii="Times New Roman" w:hAnsi="Times New Roman" w:cs="Times New Roman"/>
          <w:sz w:val="28"/>
        </w:rPr>
        <w:t xml:space="preserve"> 8 табл. </w:t>
      </w:r>
    </w:p>
    <w:p w:rsidR="00B73920" w:rsidRDefault="00B73920" w:rsidP="00B73920">
      <w:pPr>
        <w:pStyle w:val="a3"/>
        <w:ind w:firstLine="709"/>
        <w:jc w:val="both"/>
        <w:rPr>
          <w:rFonts w:ascii="Times New Roman" w:hAnsi="Times New Roman" w:cs="Times New Roman"/>
          <w:sz w:val="24"/>
        </w:rPr>
      </w:pPr>
      <w:r w:rsidRPr="002578AD">
        <w:rPr>
          <w:rFonts w:ascii="Times New Roman" w:hAnsi="Times New Roman" w:cs="Times New Roman"/>
          <w:sz w:val="24"/>
        </w:rPr>
        <w:t xml:space="preserve">Для отечественного скотоводства главным сдерживающим фактором развития стала низкая доходность отрасли. Системное решение всего комплекса проблем, накопившихся в отрасли, возможно только через повышение доходности и поддержание конкурентоспособности отечественного производства. Расширенное воспроизводство сдерживается не только технологическими (выход телят, яловость, продуктивное долголетие коров), а также экономическими (окупаемость затрат) факторами. При хороших темпах роста продуктивности в молочном скотоводстве сокращение поголовья коров является причиной отсутствия положительных изменений на внутреннем рынке молока. Этому способствует несправедливая система ценообразования при прохождении продукции скотоводства от производителя до конечного потребителя. В результате ценового дисбаланса сельхозпроизводители имеют трудности с реализацией продукции (товарность молока не более 67%). При этом наблюдается недостаток молока и говядины </w:t>
      </w:r>
      <w:r w:rsidRPr="002578AD">
        <w:rPr>
          <w:rFonts w:ascii="Times New Roman" w:hAnsi="Times New Roman" w:cs="Times New Roman"/>
          <w:sz w:val="24"/>
        </w:rPr>
        <w:lastRenderedPageBreak/>
        <w:t xml:space="preserve">для удовлетворения оплаченного спроса. Мы в своих исследованиях рассматриваем молочное скотоводство как сложную </w:t>
      </w:r>
      <w:proofErr w:type="spellStart"/>
      <w:r w:rsidRPr="002578AD">
        <w:rPr>
          <w:rFonts w:ascii="Times New Roman" w:hAnsi="Times New Roman" w:cs="Times New Roman"/>
          <w:sz w:val="24"/>
        </w:rPr>
        <w:t>многопродуктовую</w:t>
      </w:r>
      <w:proofErr w:type="spellEnd"/>
      <w:r w:rsidRPr="002578AD">
        <w:rPr>
          <w:rFonts w:ascii="Times New Roman" w:hAnsi="Times New Roman" w:cs="Times New Roman"/>
          <w:sz w:val="24"/>
        </w:rPr>
        <w:t xml:space="preserve"> систему во всех её взаимосвязях и проявлениях. </w:t>
      </w:r>
    </w:p>
    <w:p w:rsidR="00B73920" w:rsidRPr="002578AD" w:rsidRDefault="00B73920" w:rsidP="00B73920">
      <w:pPr>
        <w:pStyle w:val="a3"/>
        <w:ind w:firstLine="709"/>
        <w:jc w:val="both"/>
        <w:rPr>
          <w:rFonts w:ascii="Times New Roman" w:hAnsi="Times New Roman" w:cs="Times New Roman"/>
          <w:sz w:val="24"/>
        </w:rPr>
      </w:pPr>
    </w:p>
    <w:p w:rsidR="00B73920" w:rsidRPr="001F44A1" w:rsidRDefault="00B73920" w:rsidP="00B73920">
      <w:pPr>
        <w:pStyle w:val="a3"/>
        <w:ind w:firstLine="709"/>
        <w:jc w:val="both"/>
        <w:rPr>
          <w:rFonts w:ascii="Times New Roman" w:hAnsi="Times New Roman" w:cs="Times New Roman"/>
          <w:sz w:val="28"/>
        </w:rPr>
      </w:pPr>
      <w:r w:rsidRPr="001F44A1">
        <w:rPr>
          <w:rFonts w:ascii="Times New Roman" w:hAnsi="Times New Roman" w:cs="Times New Roman"/>
          <w:sz w:val="28"/>
        </w:rPr>
        <w:t>Тихомиров, А. И. Экспорт животноводческой продукции: основные тенденции и факторы развития / А. И. Тихомиров // Экономика с</w:t>
      </w:r>
      <w:r>
        <w:rPr>
          <w:rFonts w:ascii="Times New Roman" w:hAnsi="Times New Roman" w:cs="Times New Roman"/>
          <w:sz w:val="28"/>
        </w:rPr>
        <w:t>.-</w:t>
      </w:r>
      <w:r w:rsidRPr="001F44A1">
        <w:rPr>
          <w:rFonts w:ascii="Times New Roman" w:hAnsi="Times New Roman" w:cs="Times New Roman"/>
          <w:sz w:val="28"/>
        </w:rPr>
        <w:t>х</w:t>
      </w:r>
      <w:r>
        <w:rPr>
          <w:rFonts w:ascii="Times New Roman" w:hAnsi="Times New Roman" w:cs="Times New Roman"/>
          <w:sz w:val="28"/>
        </w:rPr>
        <w:t>.</w:t>
      </w:r>
      <w:r w:rsidRPr="001F44A1">
        <w:rPr>
          <w:rFonts w:ascii="Times New Roman" w:hAnsi="Times New Roman" w:cs="Times New Roman"/>
          <w:sz w:val="28"/>
        </w:rPr>
        <w:t xml:space="preserve"> и </w:t>
      </w:r>
      <w:proofErr w:type="spellStart"/>
      <w:r w:rsidRPr="001F44A1">
        <w:rPr>
          <w:rFonts w:ascii="Times New Roman" w:hAnsi="Times New Roman" w:cs="Times New Roman"/>
          <w:sz w:val="28"/>
        </w:rPr>
        <w:t>перерабат</w:t>
      </w:r>
      <w:proofErr w:type="spellEnd"/>
      <w:r>
        <w:rPr>
          <w:rFonts w:ascii="Times New Roman" w:hAnsi="Times New Roman" w:cs="Times New Roman"/>
          <w:sz w:val="28"/>
        </w:rPr>
        <w:t>.</w:t>
      </w:r>
      <w:r w:rsidRPr="001F44A1">
        <w:rPr>
          <w:rFonts w:ascii="Times New Roman" w:hAnsi="Times New Roman" w:cs="Times New Roman"/>
          <w:sz w:val="28"/>
        </w:rPr>
        <w:t xml:space="preserve"> предприятий. – 2018. – № 6. – С. 24–28</w:t>
      </w:r>
      <w:proofErr w:type="gramStart"/>
      <w:r w:rsidRPr="001F44A1">
        <w:rPr>
          <w:rFonts w:ascii="Times New Roman" w:hAnsi="Times New Roman" w:cs="Times New Roman"/>
          <w:sz w:val="28"/>
        </w:rPr>
        <w:t xml:space="preserve"> :</w:t>
      </w:r>
      <w:proofErr w:type="gramEnd"/>
      <w:r w:rsidRPr="001F44A1">
        <w:rPr>
          <w:rFonts w:ascii="Times New Roman" w:hAnsi="Times New Roman" w:cs="Times New Roman"/>
          <w:sz w:val="28"/>
        </w:rPr>
        <w:t xml:space="preserve"> 5 табл.</w:t>
      </w:r>
    </w:p>
    <w:p w:rsidR="00B73920" w:rsidRDefault="00B73920" w:rsidP="00B73920">
      <w:pPr>
        <w:pStyle w:val="a3"/>
        <w:ind w:firstLine="709"/>
        <w:jc w:val="both"/>
        <w:rPr>
          <w:rFonts w:ascii="Times New Roman" w:hAnsi="Times New Roman" w:cs="Times New Roman"/>
          <w:sz w:val="24"/>
        </w:rPr>
      </w:pPr>
      <w:r w:rsidRPr="001F44A1">
        <w:rPr>
          <w:rFonts w:ascii="Times New Roman" w:hAnsi="Times New Roman" w:cs="Times New Roman"/>
          <w:sz w:val="24"/>
        </w:rPr>
        <w:t xml:space="preserve">В статье рассмотрены современное состояние и перспективные возможности экспорта животноводческой продукции отечественного производства. Определены основные условия и факторы развития экспортного потенциала отрасли и факторы, влияющие на его формирование. Установлены ключевые страны-импортеры российского продовольствия животного происхождения и товары, поставляемые на мировой рынок. Отражены тенденции и макроэкономические условия наращивания объемов экспортных поставок животноводческой продукции. Предложены меры по совершенствованию </w:t>
      </w:r>
      <w:proofErr w:type="gramStart"/>
      <w:r w:rsidRPr="001F44A1">
        <w:rPr>
          <w:rFonts w:ascii="Times New Roman" w:hAnsi="Times New Roman" w:cs="Times New Roman"/>
          <w:sz w:val="24"/>
        </w:rPr>
        <w:t>механизмов государственной поддержки экспортеров продукции животноводства</w:t>
      </w:r>
      <w:proofErr w:type="gramEnd"/>
      <w:r w:rsidRPr="001F44A1">
        <w:rPr>
          <w:rFonts w:ascii="Times New Roman" w:hAnsi="Times New Roman" w:cs="Times New Roman"/>
          <w:sz w:val="24"/>
        </w:rPr>
        <w:t xml:space="preserve"> и продуктов ее переработки.</w:t>
      </w:r>
    </w:p>
    <w:p w:rsidR="00B73920" w:rsidRDefault="00B73920" w:rsidP="00B73920">
      <w:pPr>
        <w:pStyle w:val="a3"/>
        <w:ind w:firstLine="709"/>
        <w:jc w:val="both"/>
        <w:rPr>
          <w:rFonts w:ascii="Times New Roman" w:hAnsi="Times New Roman" w:cs="Times New Roman"/>
          <w:sz w:val="24"/>
        </w:rPr>
      </w:pPr>
    </w:p>
    <w:p w:rsidR="00B73920" w:rsidRPr="00ED3AB7" w:rsidRDefault="00B73920" w:rsidP="00B73920">
      <w:pPr>
        <w:pStyle w:val="a3"/>
        <w:ind w:firstLine="709"/>
        <w:jc w:val="both"/>
        <w:rPr>
          <w:rFonts w:ascii="Times New Roman" w:hAnsi="Times New Roman" w:cs="Times New Roman"/>
          <w:sz w:val="28"/>
        </w:rPr>
      </w:pPr>
      <w:r w:rsidRPr="00ED3AB7">
        <w:rPr>
          <w:rFonts w:ascii="Times New Roman" w:hAnsi="Times New Roman" w:cs="Times New Roman"/>
          <w:sz w:val="28"/>
        </w:rPr>
        <w:t>Чинаров, А. В. Внешнеторговый потенциал мясного животноводства России / А. В. Чинаров // Экономика с</w:t>
      </w:r>
      <w:r>
        <w:rPr>
          <w:rFonts w:ascii="Times New Roman" w:hAnsi="Times New Roman" w:cs="Times New Roman"/>
          <w:sz w:val="28"/>
        </w:rPr>
        <w:t>.-</w:t>
      </w:r>
      <w:r w:rsidRPr="00ED3AB7">
        <w:rPr>
          <w:rFonts w:ascii="Times New Roman" w:hAnsi="Times New Roman" w:cs="Times New Roman"/>
          <w:sz w:val="28"/>
        </w:rPr>
        <w:t>х</w:t>
      </w:r>
      <w:r>
        <w:rPr>
          <w:rFonts w:ascii="Times New Roman" w:hAnsi="Times New Roman" w:cs="Times New Roman"/>
          <w:sz w:val="28"/>
        </w:rPr>
        <w:t>.</w:t>
      </w:r>
      <w:r w:rsidRPr="00ED3AB7">
        <w:rPr>
          <w:rFonts w:ascii="Times New Roman" w:hAnsi="Times New Roman" w:cs="Times New Roman"/>
          <w:sz w:val="28"/>
        </w:rPr>
        <w:t xml:space="preserve"> и </w:t>
      </w:r>
      <w:proofErr w:type="spellStart"/>
      <w:r w:rsidRPr="00ED3AB7">
        <w:rPr>
          <w:rFonts w:ascii="Times New Roman" w:hAnsi="Times New Roman" w:cs="Times New Roman"/>
          <w:sz w:val="28"/>
        </w:rPr>
        <w:t>перерабат</w:t>
      </w:r>
      <w:proofErr w:type="spellEnd"/>
      <w:r>
        <w:rPr>
          <w:rFonts w:ascii="Times New Roman" w:hAnsi="Times New Roman" w:cs="Times New Roman"/>
          <w:sz w:val="28"/>
        </w:rPr>
        <w:t>.</w:t>
      </w:r>
      <w:r w:rsidRPr="00ED3AB7">
        <w:rPr>
          <w:rFonts w:ascii="Times New Roman" w:hAnsi="Times New Roman" w:cs="Times New Roman"/>
          <w:sz w:val="28"/>
        </w:rPr>
        <w:t xml:space="preserve"> предприятий. </w:t>
      </w:r>
      <w:r>
        <w:rPr>
          <w:rFonts w:ascii="Times New Roman" w:hAnsi="Times New Roman" w:cs="Times New Roman"/>
          <w:sz w:val="28"/>
        </w:rPr>
        <w:t>–</w:t>
      </w:r>
      <w:r w:rsidRPr="00ED3AB7">
        <w:rPr>
          <w:rFonts w:ascii="Times New Roman" w:hAnsi="Times New Roman" w:cs="Times New Roman"/>
          <w:sz w:val="28"/>
        </w:rPr>
        <w:t xml:space="preserve"> 2018. </w:t>
      </w:r>
      <w:r>
        <w:rPr>
          <w:rFonts w:ascii="Times New Roman" w:hAnsi="Times New Roman" w:cs="Times New Roman"/>
          <w:sz w:val="28"/>
        </w:rPr>
        <w:t>– №</w:t>
      </w:r>
      <w:r w:rsidRPr="00ED3AB7">
        <w:rPr>
          <w:rFonts w:ascii="Times New Roman" w:hAnsi="Times New Roman" w:cs="Times New Roman"/>
          <w:sz w:val="28"/>
        </w:rPr>
        <w:t xml:space="preserve"> 5</w:t>
      </w:r>
      <w:r>
        <w:rPr>
          <w:rFonts w:ascii="Times New Roman" w:hAnsi="Times New Roman" w:cs="Times New Roman"/>
          <w:sz w:val="28"/>
        </w:rPr>
        <w:t>. – С. 22–</w:t>
      </w:r>
      <w:r w:rsidRPr="00ED3AB7">
        <w:rPr>
          <w:rFonts w:ascii="Times New Roman" w:hAnsi="Times New Roman" w:cs="Times New Roman"/>
          <w:sz w:val="28"/>
        </w:rPr>
        <w:t>24</w:t>
      </w:r>
      <w:proofErr w:type="gramStart"/>
      <w:r w:rsidRPr="00ED3AB7">
        <w:rPr>
          <w:rFonts w:ascii="Times New Roman" w:hAnsi="Times New Roman" w:cs="Times New Roman"/>
          <w:sz w:val="28"/>
        </w:rPr>
        <w:t xml:space="preserve"> :</w:t>
      </w:r>
      <w:proofErr w:type="gramEnd"/>
      <w:r w:rsidRPr="00ED3AB7">
        <w:rPr>
          <w:rFonts w:ascii="Times New Roman" w:hAnsi="Times New Roman" w:cs="Times New Roman"/>
          <w:sz w:val="28"/>
        </w:rPr>
        <w:t xml:space="preserve"> 2 табл. </w:t>
      </w:r>
    </w:p>
    <w:p w:rsidR="00B73920" w:rsidRDefault="00B73920" w:rsidP="00B73920">
      <w:pPr>
        <w:pStyle w:val="a3"/>
        <w:ind w:firstLine="709"/>
        <w:jc w:val="both"/>
        <w:rPr>
          <w:rFonts w:ascii="Times New Roman" w:hAnsi="Times New Roman" w:cs="Times New Roman"/>
          <w:sz w:val="24"/>
        </w:rPr>
      </w:pPr>
      <w:r w:rsidRPr="00B0146F">
        <w:rPr>
          <w:rFonts w:ascii="Times New Roman" w:hAnsi="Times New Roman" w:cs="Times New Roman"/>
          <w:sz w:val="24"/>
        </w:rPr>
        <w:t xml:space="preserve">Основным результатом реализации «Стратегии развития мясного животноводства в Российской Федерации на период до 2020 года» стало то, что отечественное мясное животноводство с успехом преодолело порог продовольственной безопасности и вышло на устойчивый путь развития, справляясь с внутренними и внешними вызовами. В ближайший период будет достигнута продовольственная независимость и </w:t>
      </w:r>
      <w:proofErr w:type="spellStart"/>
      <w:r w:rsidRPr="00B0146F">
        <w:rPr>
          <w:rFonts w:ascii="Times New Roman" w:hAnsi="Times New Roman" w:cs="Times New Roman"/>
          <w:sz w:val="24"/>
        </w:rPr>
        <w:t>самообеспечение</w:t>
      </w:r>
      <w:proofErr w:type="spellEnd"/>
      <w:r w:rsidRPr="00B0146F">
        <w:rPr>
          <w:rFonts w:ascii="Times New Roman" w:hAnsi="Times New Roman" w:cs="Times New Roman"/>
          <w:sz w:val="24"/>
        </w:rPr>
        <w:t xml:space="preserve"> по основным видам мяса. В среднесрочной перспективе возможен переход от рациональных к медицинским нормам потребления традиционных для нашей страны видов мяса. В настоящий момент имеются предпосылки для выхода отечественной продукции мясного животноводства на мировой рынок. </w:t>
      </w:r>
    </w:p>
    <w:p w:rsidR="00B73920" w:rsidRPr="00B0146F" w:rsidRDefault="00B73920" w:rsidP="00B73920">
      <w:pPr>
        <w:pStyle w:val="a3"/>
        <w:ind w:firstLine="709"/>
        <w:jc w:val="both"/>
        <w:rPr>
          <w:rFonts w:ascii="Times New Roman" w:hAnsi="Times New Roman" w:cs="Times New Roman"/>
          <w:sz w:val="24"/>
        </w:rPr>
      </w:pPr>
    </w:p>
    <w:p w:rsidR="00B73920" w:rsidRPr="00993738" w:rsidRDefault="00B73920" w:rsidP="00B73920">
      <w:pPr>
        <w:pStyle w:val="a3"/>
        <w:jc w:val="center"/>
        <w:rPr>
          <w:rFonts w:ascii="Times New Roman" w:hAnsi="Times New Roman" w:cs="Times New Roman"/>
          <w:b/>
          <w:sz w:val="28"/>
        </w:rPr>
      </w:pPr>
      <w:r w:rsidRPr="00993738">
        <w:rPr>
          <w:rFonts w:ascii="Times New Roman" w:hAnsi="Times New Roman" w:cs="Times New Roman"/>
          <w:b/>
          <w:sz w:val="28"/>
        </w:rPr>
        <w:t>Экономика растениеводства</w:t>
      </w:r>
    </w:p>
    <w:p w:rsidR="00F2374C" w:rsidRPr="00F2374C" w:rsidRDefault="00F2374C" w:rsidP="00F2374C">
      <w:pPr>
        <w:pStyle w:val="a3"/>
        <w:ind w:firstLine="709"/>
        <w:jc w:val="both"/>
        <w:rPr>
          <w:rFonts w:ascii="Times New Roman" w:hAnsi="Times New Roman" w:cs="Times New Roman"/>
          <w:sz w:val="28"/>
        </w:rPr>
      </w:pPr>
      <w:r w:rsidRPr="00F2374C">
        <w:rPr>
          <w:rFonts w:ascii="Times New Roman" w:hAnsi="Times New Roman" w:cs="Times New Roman"/>
          <w:sz w:val="28"/>
        </w:rPr>
        <w:t>Алтухов</w:t>
      </w:r>
      <w:r>
        <w:rPr>
          <w:rFonts w:ascii="Times New Roman" w:hAnsi="Times New Roman" w:cs="Times New Roman"/>
          <w:sz w:val="28"/>
        </w:rPr>
        <w:t>,</w:t>
      </w:r>
      <w:r w:rsidRPr="00F2374C">
        <w:rPr>
          <w:rFonts w:ascii="Times New Roman" w:hAnsi="Times New Roman" w:cs="Times New Roman"/>
          <w:sz w:val="28"/>
        </w:rPr>
        <w:t xml:space="preserve"> А.</w:t>
      </w:r>
      <w:r>
        <w:rPr>
          <w:rFonts w:ascii="Times New Roman" w:hAnsi="Times New Roman" w:cs="Times New Roman"/>
          <w:sz w:val="28"/>
        </w:rPr>
        <w:t xml:space="preserve"> </w:t>
      </w:r>
      <w:r w:rsidRPr="00F2374C">
        <w:rPr>
          <w:rFonts w:ascii="Times New Roman" w:hAnsi="Times New Roman" w:cs="Times New Roman"/>
          <w:sz w:val="28"/>
        </w:rPr>
        <w:t xml:space="preserve">И. Стратегия развития </w:t>
      </w:r>
      <w:proofErr w:type="spellStart"/>
      <w:r w:rsidRPr="00F2374C">
        <w:rPr>
          <w:rFonts w:ascii="Times New Roman" w:hAnsi="Times New Roman" w:cs="Times New Roman"/>
          <w:sz w:val="28"/>
        </w:rPr>
        <w:t>зернопродуктового</w:t>
      </w:r>
      <w:proofErr w:type="spellEnd"/>
      <w:r w:rsidRPr="00F2374C">
        <w:rPr>
          <w:rFonts w:ascii="Times New Roman" w:hAnsi="Times New Roman" w:cs="Times New Roman"/>
          <w:sz w:val="28"/>
        </w:rPr>
        <w:t xml:space="preserve"> </w:t>
      </w:r>
      <w:proofErr w:type="spellStart"/>
      <w:r w:rsidRPr="00F2374C">
        <w:rPr>
          <w:rFonts w:ascii="Times New Roman" w:hAnsi="Times New Roman" w:cs="Times New Roman"/>
          <w:sz w:val="28"/>
        </w:rPr>
        <w:t>подкомплекса</w:t>
      </w:r>
      <w:proofErr w:type="spellEnd"/>
      <w:r w:rsidRPr="00F2374C">
        <w:rPr>
          <w:rFonts w:ascii="Times New Roman" w:hAnsi="Times New Roman" w:cs="Times New Roman"/>
          <w:sz w:val="28"/>
        </w:rPr>
        <w:t xml:space="preserve"> - основа разработки схемы размещения и специализации зернового производства в стране / А.</w:t>
      </w:r>
      <w:r>
        <w:rPr>
          <w:rFonts w:ascii="Times New Roman" w:hAnsi="Times New Roman" w:cs="Times New Roman"/>
          <w:sz w:val="28"/>
        </w:rPr>
        <w:t xml:space="preserve"> </w:t>
      </w:r>
      <w:r w:rsidRPr="00F2374C">
        <w:rPr>
          <w:rFonts w:ascii="Times New Roman" w:hAnsi="Times New Roman" w:cs="Times New Roman"/>
          <w:sz w:val="28"/>
        </w:rPr>
        <w:t xml:space="preserve">И. Алтухов // </w:t>
      </w:r>
      <w:proofErr w:type="spellStart"/>
      <w:r w:rsidRPr="00F2374C">
        <w:rPr>
          <w:rFonts w:ascii="Times New Roman" w:hAnsi="Times New Roman" w:cs="Times New Roman"/>
          <w:sz w:val="28"/>
        </w:rPr>
        <w:t>Вестн</w:t>
      </w:r>
      <w:proofErr w:type="spellEnd"/>
      <w:r w:rsidRPr="00F2374C">
        <w:rPr>
          <w:rFonts w:ascii="Times New Roman" w:hAnsi="Times New Roman" w:cs="Times New Roman"/>
          <w:sz w:val="28"/>
        </w:rPr>
        <w:t>. Курской гос. с.-х. акад. – 2018. – № 5. – С. 146–152.</w:t>
      </w:r>
    </w:p>
    <w:p w:rsidR="00F2374C" w:rsidRPr="00F2374C" w:rsidRDefault="00F2374C" w:rsidP="00B73920">
      <w:pPr>
        <w:pStyle w:val="a3"/>
        <w:widowControl w:val="0"/>
        <w:ind w:firstLine="709"/>
        <w:jc w:val="both"/>
        <w:rPr>
          <w:rFonts w:ascii="Times New Roman" w:eastAsia="Times New Roman" w:hAnsi="Times New Roman" w:cs="Times New Roman"/>
          <w:color w:val="00008F"/>
          <w:sz w:val="24"/>
        </w:rPr>
      </w:pPr>
    </w:p>
    <w:p w:rsidR="00B73920" w:rsidRDefault="00B73920" w:rsidP="00B73920">
      <w:pPr>
        <w:pStyle w:val="a3"/>
        <w:widowControl w:val="0"/>
        <w:ind w:firstLine="709"/>
        <w:jc w:val="both"/>
        <w:rPr>
          <w:rFonts w:ascii="Times New Roman" w:hAnsi="Times New Roman" w:cs="Times New Roman"/>
          <w:sz w:val="28"/>
        </w:rPr>
      </w:pPr>
      <w:proofErr w:type="spellStart"/>
      <w:r w:rsidRPr="00993738">
        <w:rPr>
          <w:rFonts w:ascii="Times New Roman" w:hAnsi="Times New Roman" w:cs="Times New Roman"/>
          <w:sz w:val="28"/>
        </w:rPr>
        <w:t>Гвазава</w:t>
      </w:r>
      <w:proofErr w:type="spellEnd"/>
      <w:r w:rsidRPr="00993738">
        <w:rPr>
          <w:rFonts w:ascii="Times New Roman" w:hAnsi="Times New Roman" w:cs="Times New Roman"/>
          <w:sz w:val="28"/>
        </w:rPr>
        <w:t xml:space="preserve">, Д. Г. Эффективность производства картофеля в с.-х. организациях Костромской области / Д. Г. </w:t>
      </w:r>
      <w:proofErr w:type="spellStart"/>
      <w:r w:rsidRPr="00993738">
        <w:rPr>
          <w:rFonts w:ascii="Times New Roman" w:hAnsi="Times New Roman" w:cs="Times New Roman"/>
          <w:sz w:val="28"/>
        </w:rPr>
        <w:t>Гвазава</w:t>
      </w:r>
      <w:proofErr w:type="spellEnd"/>
      <w:r w:rsidRPr="00993738">
        <w:rPr>
          <w:rFonts w:ascii="Times New Roman" w:hAnsi="Times New Roman" w:cs="Times New Roman"/>
          <w:sz w:val="28"/>
        </w:rPr>
        <w:t>, Л. А. Хомутова, Л. М</w:t>
      </w:r>
      <w:r>
        <w:rPr>
          <w:rFonts w:ascii="Times New Roman" w:hAnsi="Times New Roman" w:cs="Times New Roman"/>
          <w:sz w:val="28"/>
        </w:rPr>
        <w:t>. Исаева // Картофель и овощи. –</w:t>
      </w:r>
      <w:r w:rsidRPr="00993738">
        <w:rPr>
          <w:rFonts w:ascii="Times New Roman" w:hAnsi="Times New Roman" w:cs="Times New Roman"/>
          <w:sz w:val="28"/>
        </w:rPr>
        <w:t xml:space="preserve"> 2018. </w:t>
      </w:r>
      <w:r>
        <w:rPr>
          <w:rFonts w:ascii="Times New Roman" w:hAnsi="Times New Roman" w:cs="Times New Roman"/>
          <w:sz w:val="28"/>
        </w:rPr>
        <w:t>–</w:t>
      </w:r>
      <w:r w:rsidRPr="00993738">
        <w:rPr>
          <w:rFonts w:ascii="Times New Roman" w:hAnsi="Times New Roman" w:cs="Times New Roman"/>
          <w:sz w:val="28"/>
        </w:rPr>
        <w:t xml:space="preserve"> </w:t>
      </w:r>
      <w:r>
        <w:rPr>
          <w:rFonts w:ascii="Times New Roman" w:hAnsi="Times New Roman" w:cs="Times New Roman"/>
          <w:sz w:val="28"/>
        </w:rPr>
        <w:t>№</w:t>
      </w:r>
      <w:r w:rsidRPr="00993738">
        <w:rPr>
          <w:rFonts w:ascii="Times New Roman" w:hAnsi="Times New Roman" w:cs="Times New Roman"/>
          <w:sz w:val="28"/>
        </w:rPr>
        <w:t xml:space="preserve"> 8. </w:t>
      </w:r>
      <w:r>
        <w:rPr>
          <w:rFonts w:ascii="Times New Roman" w:hAnsi="Times New Roman" w:cs="Times New Roman"/>
          <w:sz w:val="28"/>
        </w:rPr>
        <w:t>–</w:t>
      </w:r>
      <w:r w:rsidRPr="00993738">
        <w:rPr>
          <w:rFonts w:ascii="Times New Roman" w:hAnsi="Times New Roman" w:cs="Times New Roman"/>
          <w:sz w:val="28"/>
        </w:rPr>
        <w:t xml:space="preserve"> С. 23</w:t>
      </w:r>
      <w:r>
        <w:rPr>
          <w:rFonts w:ascii="Times New Roman" w:hAnsi="Times New Roman" w:cs="Times New Roman"/>
          <w:sz w:val="28"/>
        </w:rPr>
        <w:t>–</w:t>
      </w:r>
      <w:r w:rsidRPr="00993738">
        <w:rPr>
          <w:rFonts w:ascii="Times New Roman" w:hAnsi="Times New Roman" w:cs="Times New Roman"/>
          <w:sz w:val="28"/>
        </w:rPr>
        <w:t>25</w:t>
      </w:r>
      <w:proofErr w:type="gramStart"/>
      <w:r>
        <w:rPr>
          <w:rFonts w:ascii="Times New Roman" w:hAnsi="Times New Roman" w:cs="Times New Roman"/>
          <w:sz w:val="28"/>
        </w:rPr>
        <w:t xml:space="preserve"> :</w:t>
      </w:r>
      <w:proofErr w:type="gramEnd"/>
      <w:r w:rsidRPr="00993738">
        <w:rPr>
          <w:rFonts w:ascii="Times New Roman" w:hAnsi="Times New Roman" w:cs="Times New Roman"/>
          <w:sz w:val="28"/>
        </w:rPr>
        <w:t xml:space="preserve"> табл., фот. </w:t>
      </w:r>
    </w:p>
    <w:p w:rsidR="00B73920" w:rsidRDefault="00B73920" w:rsidP="00B73920">
      <w:pPr>
        <w:pStyle w:val="a3"/>
        <w:widowControl w:val="0"/>
        <w:ind w:firstLine="709"/>
        <w:jc w:val="both"/>
        <w:rPr>
          <w:rFonts w:ascii="Times New Roman" w:hAnsi="Times New Roman" w:cs="Times New Roman"/>
          <w:sz w:val="24"/>
        </w:rPr>
      </w:pPr>
      <w:r w:rsidRPr="00993738">
        <w:rPr>
          <w:rFonts w:ascii="Times New Roman" w:hAnsi="Times New Roman" w:cs="Times New Roman"/>
          <w:sz w:val="24"/>
        </w:rPr>
        <w:t>В статье рассматривается состояние картофелеводства в Костромской области. Картофелеводство характеризуется нестабильным уровнем рентабельности и низким показателем товарности. Вместе с тем, в регионе имеются внутренние резервы для повышения ее эффективности за счет внедрения инновационных разработок и использования конкурентоспособных сортов картофеля.</w:t>
      </w:r>
    </w:p>
    <w:p w:rsidR="00B73920" w:rsidRPr="00993738" w:rsidRDefault="00B73920" w:rsidP="00B73920">
      <w:pPr>
        <w:pStyle w:val="a3"/>
        <w:ind w:firstLine="709"/>
        <w:jc w:val="both"/>
        <w:rPr>
          <w:rFonts w:ascii="Times New Roman" w:hAnsi="Times New Roman" w:cs="Times New Roman"/>
          <w:sz w:val="24"/>
        </w:rPr>
      </w:pPr>
    </w:p>
    <w:p w:rsidR="00016331" w:rsidRDefault="00B73920" w:rsidP="00016331">
      <w:pPr>
        <w:pStyle w:val="a3"/>
        <w:widowControl w:val="0"/>
        <w:ind w:firstLine="709"/>
        <w:jc w:val="both"/>
        <w:rPr>
          <w:rFonts w:ascii="Times New Roman" w:hAnsi="Times New Roman" w:cs="Times New Roman"/>
          <w:sz w:val="28"/>
        </w:rPr>
      </w:pPr>
      <w:r w:rsidRPr="008A0802">
        <w:rPr>
          <w:rFonts w:ascii="Times New Roman" w:hAnsi="Times New Roman" w:cs="Times New Roman"/>
          <w:sz w:val="28"/>
        </w:rPr>
        <w:t>Козлов, М. П. Направления развития зернового производства в современных условиях на инновационной основе / М. П. Козлов // Экономика с</w:t>
      </w:r>
      <w:r>
        <w:rPr>
          <w:rFonts w:ascii="Times New Roman" w:hAnsi="Times New Roman" w:cs="Times New Roman"/>
          <w:sz w:val="28"/>
        </w:rPr>
        <w:t>.-</w:t>
      </w:r>
      <w:r w:rsidRPr="008A0802">
        <w:rPr>
          <w:rFonts w:ascii="Times New Roman" w:hAnsi="Times New Roman" w:cs="Times New Roman"/>
          <w:sz w:val="28"/>
        </w:rPr>
        <w:t>х</w:t>
      </w:r>
      <w:r>
        <w:rPr>
          <w:rFonts w:ascii="Times New Roman" w:hAnsi="Times New Roman" w:cs="Times New Roman"/>
          <w:sz w:val="28"/>
        </w:rPr>
        <w:t>.</w:t>
      </w:r>
      <w:r w:rsidRPr="008A0802">
        <w:rPr>
          <w:rFonts w:ascii="Times New Roman" w:hAnsi="Times New Roman" w:cs="Times New Roman"/>
          <w:sz w:val="28"/>
        </w:rPr>
        <w:t xml:space="preserve"> и </w:t>
      </w:r>
      <w:proofErr w:type="spellStart"/>
      <w:r w:rsidRPr="008A0802">
        <w:rPr>
          <w:rFonts w:ascii="Times New Roman" w:hAnsi="Times New Roman" w:cs="Times New Roman"/>
          <w:sz w:val="28"/>
        </w:rPr>
        <w:t>перерабат</w:t>
      </w:r>
      <w:proofErr w:type="spellEnd"/>
      <w:r>
        <w:rPr>
          <w:rFonts w:ascii="Times New Roman" w:hAnsi="Times New Roman" w:cs="Times New Roman"/>
          <w:sz w:val="28"/>
        </w:rPr>
        <w:t>.</w:t>
      </w:r>
      <w:r w:rsidRPr="008A0802">
        <w:rPr>
          <w:rFonts w:ascii="Times New Roman" w:hAnsi="Times New Roman" w:cs="Times New Roman"/>
          <w:sz w:val="28"/>
        </w:rPr>
        <w:t xml:space="preserve"> предприятий. </w:t>
      </w:r>
      <w:r>
        <w:rPr>
          <w:rFonts w:ascii="Times New Roman" w:hAnsi="Times New Roman" w:cs="Times New Roman"/>
          <w:sz w:val="28"/>
        </w:rPr>
        <w:t>–</w:t>
      </w:r>
      <w:r w:rsidRPr="008A0802">
        <w:rPr>
          <w:rFonts w:ascii="Times New Roman" w:hAnsi="Times New Roman" w:cs="Times New Roman"/>
          <w:sz w:val="28"/>
        </w:rPr>
        <w:t xml:space="preserve"> 2018. </w:t>
      </w:r>
      <w:r>
        <w:rPr>
          <w:rFonts w:ascii="Times New Roman" w:hAnsi="Times New Roman" w:cs="Times New Roman"/>
          <w:sz w:val="28"/>
        </w:rPr>
        <w:t>–</w:t>
      </w:r>
      <w:r w:rsidRPr="008A0802">
        <w:rPr>
          <w:rFonts w:ascii="Times New Roman" w:hAnsi="Times New Roman" w:cs="Times New Roman"/>
          <w:sz w:val="28"/>
        </w:rPr>
        <w:t xml:space="preserve"> </w:t>
      </w:r>
      <w:r>
        <w:rPr>
          <w:rFonts w:ascii="Times New Roman" w:hAnsi="Times New Roman" w:cs="Times New Roman"/>
          <w:sz w:val="28"/>
        </w:rPr>
        <w:t>№</w:t>
      </w:r>
      <w:r w:rsidRPr="008A0802">
        <w:rPr>
          <w:rFonts w:ascii="Times New Roman" w:hAnsi="Times New Roman" w:cs="Times New Roman"/>
          <w:sz w:val="28"/>
        </w:rPr>
        <w:t xml:space="preserve"> 5. </w:t>
      </w:r>
      <w:r>
        <w:rPr>
          <w:rFonts w:ascii="Times New Roman" w:hAnsi="Times New Roman" w:cs="Times New Roman"/>
          <w:sz w:val="28"/>
        </w:rPr>
        <w:t>–</w:t>
      </w:r>
      <w:r w:rsidRPr="008A0802">
        <w:rPr>
          <w:rFonts w:ascii="Times New Roman" w:hAnsi="Times New Roman" w:cs="Times New Roman"/>
          <w:sz w:val="28"/>
        </w:rPr>
        <w:t xml:space="preserve"> С. 33</w:t>
      </w:r>
      <w:r>
        <w:rPr>
          <w:rFonts w:ascii="Times New Roman" w:hAnsi="Times New Roman" w:cs="Times New Roman"/>
          <w:sz w:val="28"/>
        </w:rPr>
        <w:t>–</w:t>
      </w:r>
      <w:r w:rsidRPr="008A0802">
        <w:rPr>
          <w:rFonts w:ascii="Times New Roman" w:hAnsi="Times New Roman" w:cs="Times New Roman"/>
          <w:sz w:val="28"/>
        </w:rPr>
        <w:t>39</w:t>
      </w:r>
      <w:proofErr w:type="gramStart"/>
      <w:r w:rsidRPr="008A0802">
        <w:rPr>
          <w:rFonts w:ascii="Times New Roman" w:hAnsi="Times New Roman" w:cs="Times New Roman"/>
          <w:sz w:val="28"/>
        </w:rPr>
        <w:t xml:space="preserve"> :</w:t>
      </w:r>
      <w:proofErr w:type="gramEnd"/>
      <w:r w:rsidRPr="008A0802">
        <w:rPr>
          <w:rFonts w:ascii="Times New Roman" w:hAnsi="Times New Roman" w:cs="Times New Roman"/>
          <w:sz w:val="28"/>
        </w:rPr>
        <w:t xml:space="preserve"> 4 табл. </w:t>
      </w:r>
    </w:p>
    <w:p w:rsidR="00B73920" w:rsidRPr="008A0802" w:rsidRDefault="00B73920" w:rsidP="00016331">
      <w:pPr>
        <w:pStyle w:val="a3"/>
        <w:widowControl w:val="0"/>
        <w:ind w:firstLine="709"/>
        <w:jc w:val="both"/>
        <w:rPr>
          <w:rFonts w:ascii="Times New Roman" w:hAnsi="Times New Roman" w:cs="Times New Roman"/>
          <w:sz w:val="24"/>
        </w:rPr>
      </w:pPr>
      <w:r w:rsidRPr="008A0802">
        <w:rPr>
          <w:rFonts w:ascii="Times New Roman" w:hAnsi="Times New Roman" w:cs="Times New Roman"/>
          <w:sz w:val="24"/>
        </w:rPr>
        <w:t xml:space="preserve">Рассмотрены тенденции зернового производства страны в динамике, структура </w:t>
      </w:r>
      <w:r w:rsidRPr="008A0802">
        <w:rPr>
          <w:rFonts w:ascii="Times New Roman" w:hAnsi="Times New Roman" w:cs="Times New Roman"/>
          <w:sz w:val="24"/>
        </w:rPr>
        <w:lastRenderedPageBreak/>
        <w:t>производства по основным зерновым культурам, анализируется региональное распределение производства зерна, а также состояние технико-технологической базы. Представлены направления дальнейшего развития потенциала зернового производства на инновационной основе.</w:t>
      </w:r>
    </w:p>
    <w:p w:rsidR="00B73920" w:rsidRPr="00B9123F" w:rsidRDefault="00B73920" w:rsidP="00B73920">
      <w:pPr>
        <w:pStyle w:val="a3"/>
        <w:rPr>
          <w:rFonts w:ascii="Times New Roman" w:hAnsi="Times New Roman" w:cs="Times New Roman"/>
          <w:sz w:val="24"/>
        </w:rPr>
      </w:pPr>
    </w:p>
    <w:p w:rsidR="00B73920" w:rsidRDefault="00B73920" w:rsidP="00B73920">
      <w:pPr>
        <w:pStyle w:val="a3"/>
        <w:ind w:firstLine="709"/>
        <w:jc w:val="both"/>
        <w:rPr>
          <w:rFonts w:ascii="Times New Roman" w:hAnsi="Times New Roman" w:cs="Times New Roman"/>
          <w:sz w:val="28"/>
        </w:rPr>
      </w:pPr>
      <w:r w:rsidRPr="008E2A4F">
        <w:rPr>
          <w:rFonts w:ascii="Times New Roman" w:hAnsi="Times New Roman" w:cs="Times New Roman"/>
          <w:sz w:val="28"/>
        </w:rPr>
        <w:t xml:space="preserve">Лагун, А. А. Предпосылки и экономическая эффективность внедрения системы точного земледелия в сельскохозяйственных предприятиях Вологодской области / А. А. Лагун, И. Н. Шилова // </w:t>
      </w:r>
      <w:proofErr w:type="spellStart"/>
      <w:r w:rsidRPr="008E2A4F">
        <w:rPr>
          <w:rFonts w:ascii="Times New Roman" w:hAnsi="Times New Roman" w:cs="Times New Roman"/>
          <w:sz w:val="28"/>
        </w:rPr>
        <w:t>Вестн</w:t>
      </w:r>
      <w:proofErr w:type="spellEnd"/>
      <w:r w:rsidRPr="008E2A4F">
        <w:rPr>
          <w:rFonts w:ascii="Times New Roman" w:hAnsi="Times New Roman" w:cs="Times New Roman"/>
          <w:sz w:val="28"/>
        </w:rPr>
        <w:t xml:space="preserve">. Воронежского гос. </w:t>
      </w:r>
      <w:proofErr w:type="spellStart"/>
      <w:r w:rsidRPr="008E2A4F">
        <w:rPr>
          <w:rFonts w:ascii="Times New Roman" w:hAnsi="Times New Roman" w:cs="Times New Roman"/>
          <w:sz w:val="28"/>
        </w:rPr>
        <w:t>аграр</w:t>
      </w:r>
      <w:proofErr w:type="spellEnd"/>
      <w:r w:rsidRPr="008E2A4F">
        <w:rPr>
          <w:rFonts w:ascii="Times New Roman" w:hAnsi="Times New Roman" w:cs="Times New Roman"/>
          <w:sz w:val="28"/>
        </w:rPr>
        <w:t>. ун-та. – 2018. – № 2. – С. 217–226.</w:t>
      </w:r>
    </w:p>
    <w:p w:rsidR="00B73920" w:rsidRDefault="00B73920" w:rsidP="00B73920">
      <w:pPr>
        <w:pStyle w:val="a3"/>
        <w:ind w:firstLine="709"/>
        <w:jc w:val="both"/>
        <w:rPr>
          <w:rFonts w:ascii="Times New Roman" w:hAnsi="Times New Roman" w:cs="Times New Roman"/>
          <w:sz w:val="24"/>
        </w:rPr>
      </w:pPr>
      <w:r w:rsidRPr="00930B53">
        <w:rPr>
          <w:rFonts w:ascii="Times New Roman" w:hAnsi="Times New Roman" w:cs="Times New Roman"/>
          <w:sz w:val="24"/>
        </w:rPr>
        <w:t xml:space="preserve">Эффективное ведение сельского хозяйства является основой экономической безопасности страны. Учитывая, что на современном этапе отрасль испытывает постоянный дефицит квалифицированных кадров, высокопроизводительной техники, отсутствует развитая инфраструктура и др., основным направлением сельскохозяйственного производства призвано стать ресурсосбережение, в том числе на основе использования системы точного земледелия (СТЗ). Внедрение СТЗ рассмотрено на примере ООО «Покровское» </w:t>
      </w:r>
      <w:proofErr w:type="spellStart"/>
      <w:r w:rsidRPr="00930B53">
        <w:rPr>
          <w:rFonts w:ascii="Times New Roman" w:hAnsi="Times New Roman" w:cs="Times New Roman"/>
          <w:sz w:val="24"/>
        </w:rPr>
        <w:t>Грязовецкого</w:t>
      </w:r>
      <w:proofErr w:type="spellEnd"/>
      <w:r w:rsidRPr="00930B53">
        <w:rPr>
          <w:rFonts w:ascii="Times New Roman" w:hAnsi="Times New Roman" w:cs="Times New Roman"/>
          <w:sz w:val="24"/>
        </w:rPr>
        <w:t xml:space="preserve"> района Вологодской области. </w:t>
      </w:r>
      <w:proofErr w:type="gramStart"/>
      <w:r w:rsidRPr="00930B53">
        <w:rPr>
          <w:rFonts w:ascii="Times New Roman" w:hAnsi="Times New Roman" w:cs="Times New Roman"/>
          <w:sz w:val="24"/>
        </w:rPr>
        <w:t>В результате выявлено, что предпосылки для использования СТЗ имеются: в области есть предприятие, осуществляющее ее реализацию дешевле, чем в других регионах; в 5 предприятиях, и в том числе на исследуемом, внедрены элементы СТЗ (спутниковый мониторинг транспорта «Автограф»); исследуемое предприятие является достаточно финансово устойчивым.</w:t>
      </w:r>
      <w:proofErr w:type="gramEnd"/>
      <w:r w:rsidRPr="00930B53">
        <w:rPr>
          <w:rFonts w:ascii="Times New Roman" w:hAnsi="Times New Roman" w:cs="Times New Roman"/>
          <w:sz w:val="24"/>
        </w:rPr>
        <w:t xml:space="preserve"> Проведены расчеты по реализации проекта внедрения СТЗ и ее использования до 2021 года. Так как Вологодская область находится в зоне рискованного земледелия, то в основу расчета эффективности использования СТЗ для определения валового сбора зерновых применена методика расчета с учетом природно-климатических рисков. </w:t>
      </w:r>
      <w:proofErr w:type="gramStart"/>
      <w:r w:rsidRPr="00930B53">
        <w:rPr>
          <w:rFonts w:ascii="Times New Roman" w:hAnsi="Times New Roman" w:cs="Times New Roman"/>
          <w:sz w:val="24"/>
        </w:rPr>
        <w:t>Стоимость инвестиционного проекта составит 5284,6 тыс. руб. В результате экономия затрат на производство продукции растениеводства составит 3342,9 тыс. руб. Следовательно, затраты на корма для производства молока при прочих неизменных условиях за три года внедрения СТЗ уменьшатся на 1221,6 тыс. руб., трудоемкость производства 1 центнера зерновых культур за 5 лет - на 12,6%, выработка зерноуборочного комбайна вырастет на 14,5%, рентабельность продаж зерновых</w:t>
      </w:r>
      <w:proofErr w:type="gramEnd"/>
      <w:r w:rsidRPr="00930B53">
        <w:rPr>
          <w:rFonts w:ascii="Times New Roman" w:hAnsi="Times New Roman" w:cs="Times New Roman"/>
          <w:sz w:val="24"/>
        </w:rPr>
        <w:t xml:space="preserve"> культур и производства - соответственно на 17,0 и 35,4%, срок окупаемости инвестиций составит 2,1 года.</w:t>
      </w:r>
    </w:p>
    <w:p w:rsidR="00B73920" w:rsidRPr="00186641" w:rsidRDefault="00B73920" w:rsidP="00B73920">
      <w:pPr>
        <w:pStyle w:val="a3"/>
        <w:ind w:firstLine="709"/>
        <w:jc w:val="both"/>
        <w:rPr>
          <w:rFonts w:ascii="Times New Roman" w:hAnsi="Times New Roman" w:cs="Times New Roman"/>
          <w:sz w:val="24"/>
        </w:rPr>
      </w:pPr>
    </w:p>
    <w:p w:rsidR="00186641" w:rsidRPr="00186641" w:rsidRDefault="00186641" w:rsidP="00186641">
      <w:pPr>
        <w:pStyle w:val="a3"/>
        <w:ind w:firstLine="709"/>
        <w:jc w:val="both"/>
        <w:rPr>
          <w:rFonts w:ascii="Times New Roman" w:hAnsi="Times New Roman" w:cs="Times New Roman"/>
          <w:sz w:val="28"/>
        </w:rPr>
      </w:pPr>
      <w:proofErr w:type="spellStart"/>
      <w:r w:rsidRPr="00186641">
        <w:rPr>
          <w:rFonts w:ascii="Times New Roman" w:hAnsi="Times New Roman" w:cs="Times New Roman"/>
          <w:sz w:val="28"/>
        </w:rPr>
        <w:t>Малашонок</w:t>
      </w:r>
      <w:proofErr w:type="spellEnd"/>
      <w:r>
        <w:rPr>
          <w:rFonts w:ascii="Times New Roman" w:hAnsi="Times New Roman" w:cs="Times New Roman"/>
          <w:sz w:val="28"/>
        </w:rPr>
        <w:t>,</w:t>
      </w:r>
      <w:r w:rsidRPr="00186641">
        <w:rPr>
          <w:rFonts w:ascii="Times New Roman" w:hAnsi="Times New Roman" w:cs="Times New Roman"/>
          <w:sz w:val="28"/>
        </w:rPr>
        <w:t xml:space="preserve"> А.</w:t>
      </w:r>
      <w:r>
        <w:rPr>
          <w:rFonts w:ascii="Times New Roman" w:hAnsi="Times New Roman" w:cs="Times New Roman"/>
          <w:sz w:val="28"/>
        </w:rPr>
        <w:t xml:space="preserve"> </w:t>
      </w:r>
      <w:r w:rsidRPr="00186641">
        <w:rPr>
          <w:rFonts w:ascii="Times New Roman" w:hAnsi="Times New Roman" w:cs="Times New Roman"/>
          <w:sz w:val="28"/>
        </w:rPr>
        <w:t xml:space="preserve">А. Кластерная модель развития соевого </w:t>
      </w:r>
      <w:proofErr w:type="spellStart"/>
      <w:r w:rsidRPr="00186641">
        <w:rPr>
          <w:rFonts w:ascii="Times New Roman" w:hAnsi="Times New Roman" w:cs="Times New Roman"/>
          <w:sz w:val="28"/>
        </w:rPr>
        <w:t>подкомплеса</w:t>
      </w:r>
      <w:proofErr w:type="spellEnd"/>
      <w:r w:rsidRPr="00186641">
        <w:rPr>
          <w:rFonts w:ascii="Times New Roman" w:hAnsi="Times New Roman" w:cs="Times New Roman"/>
          <w:sz w:val="28"/>
        </w:rPr>
        <w:t xml:space="preserve"> Амурской области / А.</w:t>
      </w:r>
      <w:r>
        <w:rPr>
          <w:rFonts w:ascii="Times New Roman" w:hAnsi="Times New Roman" w:cs="Times New Roman"/>
          <w:sz w:val="28"/>
        </w:rPr>
        <w:t xml:space="preserve"> </w:t>
      </w:r>
      <w:r w:rsidRPr="00186641">
        <w:rPr>
          <w:rFonts w:ascii="Times New Roman" w:hAnsi="Times New Roman" w:cs="Times New Roman"/>
          <w:sz w:val="28"/>
        </w:rPr>
        <w:t xml:space="preserve">А. </w:t>
      </w:r>
      <w:proofErr w:type="spellStart"/>
      <w:r w:rsidRPr="00186641">
        <w:rPr>
          <w:rFonts w:ascii="Times New Roman" w:hAnsi="Times New Roman" w:cs="Times New Roman"/>
          <w:sz w:val="28"/>
        </w:rPr>
        <w:t>Малашонок</w:t>
      </w:r>
      <w:proofErr w:type="spellEnd"/>
      <w:r w:rsidRPr="00186641">
        <w:rPr>
          <w:rFonts w:ascii="Times New Roman" w:hAnsi="Times New Roman" w:cs="Times New Roman"/>
          <w:sz w:val="28"/>
        </w:rPr>
        <w:t xml:space="preserve"> // </w:t>
      </w:r>
      <w:proofErr w:type="spellStart"/>
      <w:r w:rsidRPr="00186641">
        <w:rPr>
          <w:rFonts w:ascii="Times New Roman" w:hAnsi="Times New Roman" w:cs="Times New Roman"/>
          <w:sz w:val="28"/>
        </w:rPr>
        <w:t>Вестн</w:t>
      </w:r>
      <w:proofErr w:type="spellEnd"/>
      <w:r w:rsidRPr="00186641">
        <w:rPr>
          <w:rFonts w:ascii="Times New Roman" w:hAnsi="Times New Roman" w:cs="Times New Roman"/>
          <w:sz w:val="28"/>
        </w:rPr>
        <w:t>. Курской гос. с.-х. акад. – 2018. – № 5. – С. 184–190.</w:t>
      </w:r>
    </w:p>
    <w:p w:rsidR="00186641" w:rsidRDefault="00186641" w:rsidP="00B73920">
      <w:pPr>
        <w:pStyle w:val="a3"/>
        <w:ind w:firstLine="709"/>
        <w:jc w:val="both"/>
        <w:rPr>
          <w:rFonts w:ascii="Times New Roman" w:hAnsi="Times New Roman" w:cs="Times New Roman"/>
          <w:sz w:val="24"/>
        </w:rPr>
      </w:pPr>
    </w:p>
    <w:p w:rsidR="0066055C" w:rsidRPr="0066055C" w:rsidRDefault="0066055C" w:rsidP="0066055C">
      <w:pPr>
        <w:pStyle w:val="a3"/>
        <w:ind w:firstLine="709"/>
        <w:jc w:val="both"/>
        <w:rPr>
          <w:rFonts w:ascii="Times New Roman" w:hAnsi="Times New Roman" w:cs="Times New Roman"/>
          <w:sz w:val="28"/>
        </w:rPr>
      </w:pPr>
      <w:r w:rsidRPr="0066055C">
        <w:rPr>
          <w:rFonts w:ascii="Times New Roman" w:hAnsi="Times New Roman" w:cs="Times New Roman"/>
          <w:sz w:val="28"/>
        </w:rPr>
        <w:t>Мамай, О.</w:t>
      </w:r>
      <w:r>
        <w:rPr>
          <w:rFonts w:ascii="Times New Roman" w:hAnsi="Times New Roman" w:cs="Times New Roman"/>
          <w:sz w:val="28"/>
        </w:rPr>
        <w:t xml:space="preserve"> </w:t>
      </w:r>
      <w:r w:rsidRPr="0066055C">
        <w:rPr>
          <w:rFonts w:ascii="Times New Roman" w:hAnsi="Times New Roman" w:cs="Times New Roman"/>
          <w:sz w:val="28"/>
        </w:rPr>
        <w:t xml:space="preserve">В. Управление инновационным развитием овощного </w:t>
      </w:r>
      <w:proofErr w:type="spellStart"/>
      <w:r w:rsidRPr="0066055C">
        <w:rPr>
          <w:rFonts w:ascii="Times New Roman" w:hAnsi="Times New Roman" w:cs="Times New Roman"/>
          <w:sz w:val="28"/>
        </w:rPr>
        <w:t>подкомплекса</w:t>
      </w:r>
      <w:proofErr w:type="spellEnd"/>
      <w:r w:rsidRPr="0066055C">
        <w:rPr>
          <w:rFonts w:ascii="Times New Roman" w:hAnsi="Times New Roman" w:cs="Times New Roman"/>
          <w:sz w:val="28"/>
        </w:rPr>
        <w:t xml:space="preserve"> аграрного сектора региональной экономики / О.</w:t>
      </w:r>
      <w:r>
        <w:rPr>
          <w:rFonts w:ascii="Times New Roman" w:hAnsi="Times New Roman" w:cs="Times New Roman"/>
          <w:sz w:val="28"/>
        </w:rPr>
        <w:t xml:space="preserve"> </w:t>
      </w:r>
      <w:r w:rsidRPr="0066055C">
        <w:rPr>
          <w:rFonts w:ascii="Times New Roman" w:hAnsi="Times New Roman" w:cs="Times New Roman"/>
          <w:sz w:val="28"/>
        </w:rPr>
        <w:t>В. Мамай, Н.</w:t>
      </w:r>
      <w:r>
        <w:rPr>
          <w:rFonts w:ascii="Times New Roman" w:hAnsi="Times New Roman" w:cs="Times New Roman"/>
          <w:sz w:val="28"/>
        </w:rPr>
        <w:t xml:space="preserve"> </w:t>
      </w:r>
      <w:r w:rsidRPr="0066055C">
        <w:rPr>
          <w:rFonts w:ascii="Times New Roman" w:hAnsi="Times New Roman" w:cs="Times New Roman"/>
          <w:sz w:val="28"/>
        </w:rPr>
        <w:t>Н.</w:t>
      </w:r>
      <w:r>
        <w:rPr>
          <w:rFonts w:ascii="Times New Roman" w:hAnsi="Times New Roman" w:cs="Times New Roman"/>
          <w:sz w:val="28"/>
        </w:rPr>
        <w:t xml:space="preserve"> </w:t>
      </w:r>
      <w:r w:rsidRPr="0066055C">
        <w:rPr>
          <w:rFonts w:ascii="Times New Roman" w:hAnsi="Times New Roman" w:cs="Times New Roman"/>
          <w:sz w:val="28"/>
        </w:rPr>
        <w:t>Липатова, М.</w:t>
      </w:r>
      <w:r>
        <w:rPr>
          <w:rFonts w:ascii="Times New Roman" w:hAnsi="Times New Roman" w:cs="Times New Roman"/>
          <w:sz w:val="28"/>
        </w:rPr>
        <w:t xml:space="preserve"> </w:t>
      </w:r>
      <w:r w:rsidRPr="0066055C">
        <w:rPr>
          <w:rFonts w:ascii="Times New Roman" w:hAnsi="Times New Roman" w:cs="Times New Roman"/>
          <w:sz w:val="28"/>
        </w:rPr>
        <w:t xml:space="preserve">Н. </w:t>
      </w:r>
      <w:proofErr w:type="spellStart"/>
      <w:r w:rsidRPr="0066055C">
        <w:rPr>
          <w:rFonts w:ascii="Times New Roman" w:hAnsi="Times New Roman" w:cs="Times New Roman"/>
          <w:sz w:val="28"/>
        </w:rPr>
        <w:t>Купряева</w:t>
      </w:r>
      <w:proofErr w:type="spellEnd"/>
      <w:r w:rsidRPr="0066055C">
        <w:rPr>
          <w:rFonts w:ascii="Times New Roman" w:hAnsi="Times New Roman" w:cs="Times New Roman"/>
          <w:sz w:val="28"/>
        </w:rPr>
        <w:t xml:space="preserve"> // Овощи России. – 2018. – № 4. – С. </w:t>
      </w:r>
      <w:r>
        <w:rPr>
          <w:rFonts w:ascii="Times New Roman" w:hAnsi="Times New Roman" w:cs="Times New Roman"/>
          <w:sz w:val="28"/>
        </w:rPr>
        <w:t>62–</w:t>
      </w:r>
      <w:r w:rsidRPr="0066055C">
        <w:rPr>
          <w:rFonts w:ascii="Times New Roman" w:hAnsi="Times New Roman" w:cs="Times New Roman"/>
          <w:sz w:val="28"/>
        </w:rPr>
        <w:t>66</w:t>
      </w:r>
      <w:r>
        <w:rPr>
          <w:rFonts w:ascii="Times New Roman" w:hAnsi="Times New Roman" w:cs="Times New Roman"/>
          <w:sz w:val="28"/>
        </w:rPr>
        <w:t>.</w:t>
      </w:r>
    </w:p>
    <w:p w:rsidR="0066055C" w:rsidRPr="00186641" w:rsidRDefault="0066055C" w:rsidP="00B73920">
      <w:pPr>
        <w:pStyle w:val="a3"/>
        <w:ind w:firstLine="709"/>
        <w:jc w:val="both"/>
        <w:rPr>
          <w:rFonts w:ascii="Times New Roman" w:hAnsi="Times New Roman" w:cs="Times New Roman"/>
          <w:sz w:val="24"/>
        </w:rPr>
      </w:pPr>
    </w:p>
    <w:p w:rsidR="00B73920" w:rsidRPr="005925C1" w:rsidRDefault="00B73920" w:rsidP="00B73920">
      <w:pPr>
        <w:pStyle w:val="a3"/>
        <w:ind w:firstLine="709"/>
        <w:jc w:val="both"/>
        <w:rPr>
          <w:rFonts w:ascii="Times New Roman" w:hAnsi="Times New Roman" w:cs="Times New Roman"/>
          <w:sz w:val="28"/>
        </w:rPr>
      </w:pPr>
      <w:r w:rsidRPr="005925C1">
        <w:rPr>
          <w:rFonts w:ascii="Times New Roman" w:hAnsi="Times New Roman" w:cs="Times New Roman"/>
          <w:sz w:val="28"/>
        </w:rPr>
        <w:t>Мордовин</w:t>
      </w:r>
      <w:r>
        <w:rPr>
          <w:rFonts w:ascii="Times New Roman" w:hAnsi="Times New Roman" w:cs="Times New Roman"/>
          <w:sz w:val="28"/>
        </w:rPr>
        <w:t>,</w:t>
      </w:r>
      <w:r w:rsidRPr="005925C1">
        <w:rPr>
          <w:rFonts w:ascii="Times New Roman" w:hAnsi="Times New Roman" w:cs="Times New Roman"/>
          <w:sz w:val="28"/>
        </w:rPr>
        <w:t xml:space="preserve"> А.</w:t>
      </w:r>
      <w:r>
        <w:rPr>
          <w:rFonts w:ascii="Times New Roman" w:hAnsi="Times New Roman" w:cs="Times New Roman"/>
          <w:sz w:val="28"/>
        </w:rPr>
        <w:t xml:space="preserve"> </w:t>
      </w:r>
      <w:r w:rsidRPr="005925C1">
        <w:rPr>
          <w:rFonts w:ascii="Times New Roman" w:hAnsi="Times New Roman" w:cs="Times New Roman"/>
          <w:sz w:val="28"/>
        </w:rPr>
        <w:t>Н. Техническая модернизация растениеводства в рамках реализации мер государственной поддержки / А.</w:t>
      </w:r>
      <w:r>
        <w:rPr>
          <w:rFonts w:ascii="Times New Roman" w:hAnsi="Times New Roman" w:cs="Times New Roman"/>
          <w:sz w:val="28"/>
        </w:rPr>
        <w:t xml:space="preserve"> </w:t>
      </w:r>
      <w:r w:rsidRPr="005925C1">
        <w:rPr>
          <w:rFonts w:ascii="Times New Roman" w:hAnsi="Times New Roman" w:cs="Times New Roman"/>
          <w:sz w:val="28"/>
        </w:rPr>
        <w:t xml:space="preserve">Н. Мордовин // </w:t>
      </w:r>
      <w:proofErr w:type="spellStart"/>
      <w:r w:rsidRPr="005925C1">
        <w:rPr>
          <w:rFonts w:ascii="Times New Roman" w:hAnsi="Times New Roman" w:cs="Times New Roman"/>
          <w:sz w:val="28"/>
        </w:rPr>
        <w:t>Вестн</w:t>
      </w:r>
      <w:proofErr w:type="spellEnd"/>
      <w:r w:rsidRPr="005925C1">
        <w:rPr>
          <w:rFonts w:ascii="Times New Roman" w:hAnsi="Times New Roman" w:cs="Times New Roman"/>
          <w:sz w:val="28"/>
        </w:rPr>
        <w:t xml:space="preserve">. </w:t>
      </w:r>
      <w:proofErr w:type="spellStart"/>
      <w:r w:rsidRPr="005925C1">
        <w:rPr>
          <w:rFonts w:ascii="Times New Roman" w:hAnsi="Times New Roman" w:cs="Times New Roman"/>
          <w:sz w:val="28"/>
        </w:rPr>
        <w:t>аграр</w:t>
      </w:r>
      <w:proofErr w:type="spellEnd"/>
      <w:r w:rsidRPr="005925C1">
        <w:rPr>
          <w:rFonts w:ascii="Times New Roman" w:hAnsi="Times New Roman" w:cs="Times New Roman"/>
          <w:sz w:val="28"/>
        </w:rPr>
        <w:t>. науки.</w:t>
      </w:r>
      <w:r w:rsidR="00CC1F6A">
        <w:rPr>
          <w:rFonts w:ascii="Times New Roman" w:hAnsi="Times New Roman" w:cs="Times New Roman"/>
          <w:sz w:val="28"/>
        </w:rPr>
        <w:t xml:space="preserve"> </w:t>
      </w:r>
      <w:r w:rsidRPr="005925C1">
        <w:rPr>
          <w:rFonts w:ascii="Times New Roman" w:hAnsi="Times New Roman" w:cs="Times New Roman"/>
          <w:sz w:val="28"/>
        </w:rPr>
        <w:t>– 2018. – № 3. – С. 125–129.</w:t>
      </w:r>
    </w:p>
    <w:p w:rsidR="00B73920" w:rsidRPr="00186641" w:rsidRDefault="00B73920" w:rsidP="00B73920">
      <w:pPr>
        <w:pStyle w:val="a3"/>
        <w:ind w:firstLine="709"/>
        <w:jc w:val="both"/>
        <w:rPr>
          <w:rFonts w:ascii="Times New Roman" w:hAnsi="Times New Roman" w:cs="Times New Roman"/>
          <w:sz w:val="24"/>
        </w:rPr>
      </w:pPr>
    </w:p>
    <w:p w:rsidR="00CC1F6A" w:rsidRDefault="00F65D9E" w:rsidP="00016331">
      <w:pPr>
        <w:pStyle w:val="a3"/>
        <w:widowControl w:val="0"/>
        <w:ind w:firstLine="709"/>
        <w:jc w:val="both"/>
        <w:rPr>
          <w:rFonts w:ascii="Times New Roman" w:hAnsi="Times New Roman" w:cs="Times New Roman"/>
          <w:sz w:val="28"/>
        </w:rPr>
      </w:pPr>
      <w:proofErr w:type="spellStart"/>
      <w:r w:rsidRPr="00F65D9E">
        <w:rPr>
          <w:rFonts w:ascii="Times New Roman" w:hAnsi="Times New Roman" w:cs="Times New Roman"/>
          <w:sz w:val="28"/>
        </w:rPr>
        <w:t>Пигорев</w:t>
      </w:r>
      <w:proofErr w:type="spellEnd"/>
      <w:r w:rsidRPr="00F65D9E">
        <w:rPr>
          <w:rFonts w:ascii="Times New Roman" w:hAnsi="Times New Roman" w:cs="Times New Roman"/>
          <w:sz w:val="28"/>
        </w:rPr>
        <w:t xml:space="preserve">, И. Я. Решение проблемы интенсификации садоводства / И. Я. </w:t>
      </w:r>
      <w:proofErr w:type="spellStart"/>
      <w:r w:rsidRPr="00F65D9E">
        <w:rPr>
          <w:rFonts w:ascii="Times New Roman" w:hAnsi="Times New Roman" w:cs="Times New Roman"/>
          <w:sz w:val="28"/>
        </w:rPr>
        <w:t>Пигорев</w:t>
      </w:r>
      <w:proofErr w:type="spellEnd"/>
      <w:r w:rsidRPr="00F65D9E">
        <w:rPr>
          <w:rFonts w:ascii="Times New Roman" w:hAnsi="Times New Roman" w:cs="Times New Roman"/>
          <w:sz w:val="28"/>
        </w:rPr>
        <w:t xml:space="preserve">, Н. В. Долгополова // </w:t>
      </w:r>
      <w:proofErr w:type="spellStart"/>
      <w:r w:rsidRPr="00F65D9E">
        <w:rPr>
          <w:rFonts w:ascii="Times New Roman" w:hAnsi="Times New Roman" w:cs="Times New Roman"/>
          <w:sz w:val="28"/>
        </w:rPr>
        <w:t>Вестн</w:t>
      </w:r>
      <w:proofErr w:type="spellEnd"/>
      <w:r w:rsidRPr="00F65D9E">
        <w:rPr>
          <w:rFonts w:ascii="Times New Roman" w:hAnsi="Times New Roman" w:cs="Times New Roman"/>
          <w:sz w:val="28"/>
        </w:rPr>
        <w:t>. Курской гос. с.-х. акад. – 2018. – № 5. – С. 52–55.</w:t>
      </w:r>
    </w:p>
    <w:p w:rsidR="00016331" w:rsidRDefault="00016331" w:rsidP="00016331">
      <w:pPr>
        <w:pStyle w:val="a3"/>
        <w:widowControl w:val="0"/>
        <w:ind w:firstLine="709"/>
        <w:jc w:val="both"/>
        <w:rPr>
          <w:rFonts w:ascii="Times New Roman" w:hAnsi="Times New Roman" w:cs="Times New Roman"/>
          <w:sz w:val="28"/>
        </w:rPr>
      </w:pPr>
    </w:p>
    <w:p w:rsidR="00BE1887" w:rsidRDefault="00BE1887" w:rsidP="00016331">
      <w:pPr>
        <w:pStyle w:val="a3"/>
        <w:widowControl w:val="0"/>
        <w:ind w:firstLine="709"/>
        <w:jc w:val="both"/>
        <w:rPr>
          <w:rFonts w:ascii="Times New Roman" w:hAnsi="Times New Roman" w:cs="Times New Roman"/>
          <w:sz w:val="28"/>
        </w:rPr>
      </w:pPr>
      <w:r w:rsidRPr="00BE1887">
        <w:rPr>
          <w:rFonts w:ascii="Times New Roman" w:hAnsi="Times New Roman" w:cs="Times New Roman"/>
          <w:sz w:val="28"/>
        </w:rPr>
        <w:t>Силаева, Л.</w:t>
      </w:r>
      <w:r>
        <w:rPr>
          <w:rFonts w:ascii="Times New Roman" w:hAnsi="Times New Roman" w:cs="Times New Roman"/>
          <w:sz w:val="28"/>
        </w:rPr>
        <w:t xml:space="preserve"> </w:t>
      </w:r>
      <w:r w:rsidRPr="00BE1887">
        <w:rPr>
          <w:rFonts w:ascii="Times New Roman" w:hAnsi="Times New Roman" w:cs="Times New Roman"/>
          <w:sz w:val="28"/>
        </w:rPr>
        <w:t xml:space="preserve">П. Развитие и размещение производства кормов в </w:t>
      </w:r>
      <w:r w:rsidRPr="00BE1887">
        <w:rPr>
          <w:rFonts w:ascii="Times New Roman" w:hAnsi="Times New Roman" w:cs="Times New Roman"/>
          <w:sz w:val="28"/>
        </w:rPr>
        <w:lastRenderedPageBreak/>
        <w:t>Российской Федерации / Л.</w:t>
      </w:r>
      <w:r>
        <w:rPr>
          <w:rFonts w:ascii="Times New Roman" w:hAnsi="Times New Roman" w:cs="Times New Roman"/>
          <w:sz w:val="28"/>
        </w:rPr>
        <w:t xml:space="preserve"> </w:t>
      </w:r>
      <w:r w:rsidRPr="00BE1887">
        <w:rPr>
          <w:rFonts w:ascii="Times New Roman" w:hAnsi="Times New Roman" w:cs="Times New Roman"/>
          <w:sz w:val="28"/>
        </w:rPr>
        <w:t>П. Силаева, С.</w:t>
      </w:r>
      <w:r>
        <w:rPr>
          <w:rFonts w:ascii="Times New Roman" w:hAnsi="Times New Roman" w:cs="Times New Roman"/>
          <w:sz w:val="28"/>
        </w:rPr>
        <w:t xml:space="preserve"> </w:t>
      </w:r>
      <w:r w:rsidRPr="00BE1887">
        <w:rPr>
          <w:rFonts w:ascii="Times New Roman" w:hAnsi="Times New Roman" w:cs="Times New Roman"/>
          <w:sz w:val="28"/>
        </w:rPr>
        <w:t xml:space="preserve">А. Алексеев // </w:t>
      </w:r>
      <w:proofErr w:type="spellStart"/>
      <w:r w:rsidRPr="00BE1887">
        <w:rPr>
          <w:rFonts w:ascii="Times New Roman" w:hAnsi="Times New Roman" w:cs="Times New Roman"/>
          <w:sz w:val="28"/>
        </w:rPr>
        <w:t>Вестн</w:t>
      </w:r>
      <w:proofErr w:type="spellEnd"/>
      <w:r w:rsidRPr="00BE1887">
        <w:rPr>
          <w:rFonts w:ascii="Times New Roman" w:hAnsi="Times New Roman" w:cs="Times New Roman"/>
          <w:sz w:val="28"/>
        </w:rPr>
        <w:t>. Курской гос. с.-х. акад. – 2018. – № 5. – С. 153–157.</w:t>
      </w:r>
    </w:p>
    <w:p w:rsidR="00016331" w:rsidRPr="00016331" w:rsidRDefault="00016331" w:rsidP="00016331">
      <w:pPr>
        <w:pStyle w:val="a3"/>
        <w:widowControl w:val="0"/>
        <w:ind w:firstLine="709"/>
        <w:jc w:val="both"/>
        <w:rPr>
          <w:rFonts w:ascii="Times New Roman" w:hAnsi="Times New Roman" w:cs="Times New Roman"/>
          <w:sz w:val="24"/>
        </w:rPr>
      </w:pPr>
    </w:p>
    <w:p w:rsidR="00B73920" w:rsidRPr="009A2CEE" w:rsidRDefault="00B73920" w:rsidP="00B73920">
      <w:pPr>
        <w:pStyle w:val="a3"/>
        <w:ind w:firstLine="709"/>
        <w:jc w:val="both"/>
        <w:rPr>
          <w:rFonts w:ascii="Times New Roman" w:hAnsi="Times New Roman" w:cs="Times New Roman"/>
          <w:sz w:val="28"/>
        </w:rPr>
      </w:pPr>
      <w:r w:rsidRPr="009A2CEE">
        <w:rPr>
          <w:rFonts w:ascii="Times New Roman" w:hAnsi="Times New Roman" w:cs="Times New Roman"/>
          <w:sz w:val="28"/>
        </w:rPr>
        <w:t>Соболев, О. С. Влияние долгосрочных климатических изменений на цены производителей продукции растениеводства России / О. С. Соболев // Экономика с</w:t>
      </w:r>
      <w:r>
        <w:rPr>
          <w:rFonts w:ascii="Times New Roman" w:hAnsi="Times New Roman" w:cs="Times New Roman"/>
          <w:sz w:val="28"/>
        </w:rPr>
        <w:t>-</w:t>
      </w:r>
      <w:r w:rsidRPr="009A2CEE">
        <w:rPr>
          <w:rFonts w:ascii="Times New Roman" w:hAnsi="Times New Roman" w:cs="Times New Roman"/>
          <w:sz w:val="28"/>
        </w:rPr>
        <w:t>х</w:t>
      </w:r>
      <w:r>
        <w:rPr>
          <w:rFonts w:ascii="Times New Roman" w:hAnsi="Times New Roman" w:cs="Times New Roman"/>
          <w:sz w:val="28"/>
        </w:rPr>
        <w:t>.</w:t>
      </w:r>
      <w:r w:rsidRPr="009A2CEE">
        <w:rPr>
          <w:rFonts w:ascii="Times New Roman" w:hAnsi="Times New Roman" w:cs="Times New Roman"/>
          <w:sz w:val="28"/>
        </w:rPr>
        <w:t xml:space="preserve"> и </w:t>
      </w:r>
      <w:proofErr w:type="spellStart"/>
      <w:r w:rsidRPr="009A2CEE">
        <w:rPr>
          <w:rFonts w:ascii="Times New Roman" w:hAnsi="Times New Roman" w:cs="Times New Roman"/>
          <w:sz w:val="28"/>
        </w:rPr>
        <w:t>перерабат</w:t>
      </w:r>
      <w:proofErr w:type="spellEnd"/>
      <w:r>
        <w:rPr>
          <w:rFonts w:ascii="Times New Roman" w:hAnsi="Times New Roman" w:cs="Times New Roman"/>
          <w:sz w:val="28"/>
        </w:rPr>
        <w:t>.</w:t>
      </w:r>
      <w:r w:rsidRPr="009A2CEE">
        <w:rPr>
          <w:rFonts w:ascii="Times New Roman" w:hAnsi="Times New Roman" w:cs="Times New Roman"/>
          <w:sz w:val="28"/>
        </w:rPr>
        <w:t xml:space="preserve"> предприятий. </w:t>
      </w:r>
      <w:r>
        <w:rPr>
          <w:rFonts w:ascii="Times New Roman" w:hAnsi="Times New Roman" w:cs="Times New Roman"/>
          <w:sz w:val="28"/>
        </w:rPr>
        <w:t>– 2018. – №</w:t>
      </w:r>
      <w:r w:rsidRPr="009A2CEE">
        <w:rPr>
          <w:rFonts w:ascii="Times New Roman" w:hAnsi="Times New Roman" w:cs="Times New Roman"/>
          <w:sz w:val="28"/>
        </w:rPr>
        <w:t xml:space="preserve"> 6. </w:t>
      </w:r>
      <w:r>
        <w:rPr>
          <w:rFonts w:ascii="Times New Roman" w:hAnsi="Times New Roman" w:cs="Times New Roman"/>
          <w:sz w:val="28"/>
        </w:rPr>
        <w:t>–</w:t>
      </w:r>
      <w:r w:rsidRPr="009A2CEE">
        <w:rPr>
          <w:rFonts w:ascii="Times New Roman" w:hAnsi="Times New Roman" w:cs="Times New Roman"/>
          <w:sz w:val="28"/>
        </w:rPr>
        <w:t xml:space="preserve"> С. 50</w:t>
      </w:r>
      <w:r>
        <w:rPr>
          <w:rFonts w:ascii="Times New Roman" w:hAnsi="Times New Roman" w:cs="Times New Roman"/>
          <w:sz w:val="28"/>
        </w:rPr>
        <w:t>–</w:t>
      </w:r>
      <w:r w:rsidRPr="009A2CEE">
        <w:rPr>
          <w:rFonts w:ascii="Times New Roman" w:hAnsi="Times New Roman" w:cs="Times New Roman"/>
          <w:sz w:val="28"/>
        </w:rPr>
        <w:t>57</w:t>
      </w:r>
      <w:proofErr w:type="gramStart"/>
      <w:r w:rsidRPr="009A2CEE">
        <w:rPr>
          <w:rFonts w:ascii="Times New Roman" w:hAnsi="Times New Roman" w:cs="Times New Roman"/>
          <w:sz w:val="28"/>
        </w:rPr>
        <w:t xml:space="preserve"> :</w:t>
      </w:r>
      <w:proofErr w:type="gramEnd"/>
      <w:r w:rsidRPr="009A2CEE">
        <w:rPr>
          <w:rFonts w:ascii="Times New Roman" w:hAnsi="Times New Roman" w:cs="Times New Roman"/>
          <w:sz w:val="28"/>
        </w:rPr>
        <w:t xml:space="preserve"> 15 табл., 2 рис. </w:t>
      </w:r>
    </w:p>
    <w:p w:rsidR="00B73920" w:rsidRDefault="00B73920" w:rsidP="00B73920">
      <w:pPr>
        <w:pStyle w:val="a3"/>
        <w:ind w:firstLine="709"/>
        <w:jc w:val="both"/>
        <w:rPr>
          <w:rFonts w:ascii="Times New Roman" w:hAnsi="Times New Roman" w:cs="Times New Roman"/>
          <w:sz w:val="24"/>
        </w:rPr>
      </w:pPr>
      <w:r w:rsidRPr="009A2CEE">
        <w:rPr>
          <w:rFonts w:ascii="Times New Roman" w:hAnsi="Times New Roman" w:cs="Times New Roman"/>
          <w:sz w:val="24"/>
        </w:rPr>
        <w:t xml:space="preserve">В статье c помощью корреляционно-регрессионного анализа рассмотрены оценки влияния долгосрочных климатических изменений (за 17 лет, с 2000 г. по 2016 г.) на цены производителей и урожайность зерновых и зернобобовых культур на примере Тамбовской области. Сделан сравнительный анализ цен российских и американских производителей сельхозпродукции на основных сырьевых рынках: зерна, молока, мяса, сахара, картофеля, овощей и подсолнечника в 1-ом квартале 2018 г. </w:t>
      </w:r>
    </w:p>
    <w:p w:rsidR="00B73920" w:rsidRPr="009A2CEE" w:rsidRDefault="00B73920" w:rsidP="00B73920">
      <w:pPr>
        <w:pStyle w:val="a3"/>
        <w:ind w:firstLine="709"/>
        <w:jc w:val="both"/>
        <w:rPr>
          <w:rFonts w:ascii="Times New Roman" w:hAnsi="Times New Roman" w:cs="Times New Roman"/>
          <w:sz w:val="24"/>
        </w:rPr>
      </w:pPr>
    </w:p>
    <w:p w:rsidR="00B73920" w:rsidRPr="009C5DD7" w:rsidRDefault="00B73920" w:rsidP="00B73920">
      <w:pPr>
        <w:pStyle w:val="a3"/>
        <w:jc w:val="center"/>
        <w:rPr>
          <w:rFonts w:ascii="Times New Roman" w:hAnsi="Times New Roman" w:cs="Times New Roman"/>
          <w:b/>
          <w:sz w:val="28"/>
        </w:rPr>
      </w:pPr>
      <w:r w:rsidRPr="009C5DD7">
        <w:rPr>
          <w:rFonts w:ascii="Times New Roman" w:hAnsi="Times New Roman" w:cs="Times New Roman"/>
          <w:b/>
          <w:sz w:val="28"/>
        </w:rPr>
        <w:t>Фермерские хозяйства</w:t>
      </w:r>
    </w:p>
    <w:p w:rsidR="00B73920" w:rsidRPr="005C5EAB" w:rsidRDefault="00B73920" w:rsidP="00B73920">
      <w:pPr>
        <w:pStyle w:val="a3"/>
        <w:ind w:firstLine="709"/>
        <w:jc w:val="both"/>
        <w:rPr>
          <w:rFonts w:ascii="Times New Roman" w:hAnsi="Times New Roman" w:cs="Times New Roman"/>
          <w:sz w:val="28"/>
        </w:rPr>
      </w:pPr>
      <w:r w:rsidRPr="005C5EAB">
        <w:rPr>
          <w:rFonts w:ascii="Times New Roman" w:hAnsi="Times New Roman" w:cs="Times New Roman"/>
          <w:sz w:val="28"/>
        </w:rPr>
        <w:t>Балашов, А. П. Анализ развития крестьянских (фермерских) хозяйств / А. П. Балашов // Экономика с</w:t>
      </w:r>
      <w:r>
        <w:rPr>
          <w:rFonts w:ascii="Times New Roman" w:hAnsi="Times New Roman" w:cs="Times New Roman"/>
          <w:sz w:val="28"/>
        </w:rPr>
        <w:t>.-</w:t>
      </w:r>
      <w:r w:rsidRPr="005C5EAB">
        <w:rPr>
          <w:rFonts w:ascii="Times New Roman" w:hAnsi="Times New Roman" w:cs="Times New Roman"/>
          <w:sz w:val="28"/>
        </w:rPr>
        <w:t>х</w:t>
      </w:r>
      <w:r>
        <w:rPr>
          <w:rFonts w:ascii="Times New Roman" w:hAnsi="Times New Roman" w:cs="Times New Roman"/>
          <w:sz w:val="28"/>
        </w:rPr>
        <w:t>.</w:t>
      </w:r>
      <w:r w:rsidRPr="005C5EAB">
        <w:rPr>
          <w:rFonts w:ascii="Times New Roman" w:hAnsi="Times New Roman" w:cs="Times New Roman"/>
          <w:sz w:val="28"/>
        </w:rPr>
        <w:t xml:space="preserve"> и </w:t>
      </w:r>
      <w:proofErr w:type="spellStart"/>
      <w:r w:rsidRPr="005C5EAB">
        <w:rPr>
          <w:rFonts w:ascii="Times New Roman" w:hAnsi="Times New Roman" w:cs="Times New Roman"/>
          <w:sz w:val="28"/>
        </w:rPr>
        <w:t>перерабат</w:t>
      </w:r>
      <w:proofErr w:type="spellEnd"/>
      <w:r>
        <w:rPr>
          <w:rFonts w:ascii="Times New Roman" w:hAnsi="Times New Roman" w:cs="Times New Roman"/>
          <w:sz w:val="28"/>
        </w:rPr>
        <w:t>.</w:t>
      </w:r>
      <w:r w:rsidRPr="005C5EAB">
        <w:rPr>
          <w:rFonts w:ascii="Times New Roman" w:hAnsi="Times New Roman" w:cs="Times New Roman"/>
          <w:sz w:val="28"/>
        </w:rPr>
        <w:t xml:space="preserve"> предприятий. </w:t>
      </w:r>
      <w:r>
        <w:rPr>
          <w:rFonts w:ascii="Times New Roman" w:hAnsi="Times New Roman" w:cs="Times New Roman"/>
          <w:sz w:val="28"/>
        </w:rPr>
        <w:t>–</w:t>
      </w:r>
      <w:r w:rsidRPr="005C5EAB">
        <w:rPr>
          <w:rFonts w:ascii="Times New Roman" w:hAnsi="Times New Roman" w:cs="Times New Roman"/>
          <w:sz w:val="28"/>
        </w:rPr>
        <w:t xml:space="preserve"> 2018. </w:t>
      </w:r>
      <w:r>
        <w:rPr>
          <w:rFonts w:ascii="Times New Roman" w:hAnsi="Times New Roman" w:cs="Times New Roman"/>
          <w:sz w:val="28"/>
        </w:rPr>
        <w:t>–</w:t>
      </w:r>
      <w:r w:rsidRPr="005C5EAB">
        <w:rPr>
          <w:rFonts w:ascii="Times New Roman" w:hAnsi="Times New Roman" w:cs="Times New Roman"/>
          <w:sz w:val="28"/>
        </w:rPr>
        <w:t xml:space="preserve"> </w:t>
      </w:r>
      <w:r>
        <w:rPr>
          <w:rFonts w:ascii="Times New Roman" w:hAnsi="Times New Roman" w:cs="Times New Roman"/>
          <w:sz w:val="28"/>
        </w:rPr>
        <w:t>№</w:t>
      </w:r>
      <w:r w:rsidRPr="005C5EAB">
        <w:rPr>
          <w:rFonts w:ascii="Times New Roman" w:hAnsi="Times New Roman" w:cs="Times New Roman"/>
          <w:sz w:val="28"/>
        </w:rPr>
        <w:t xml:space="preserve"> 6. </w:t>
      </w:r>
      <w:r>
        <w:rPr>
          <w:rFonts w:ascii="Times New Roman" w:hAnsi="Times New Roman" w:cs="Times New Roman"/>
          <w:sz w:val="28"/>
        </w:rPr>
        <w:t>–</w:t>
      </w:r>
      <w:r w:rsidRPr="005C5EAB">
        <w:rPr>
          <w:rFonts w:ascii="Times New Roman" w:hAnsi="Times New Roman" w:cs="Times New Roman"/>
          <w:sz w:val="28"/>
        </w:rPr>
        <w:t xml:space="preserve"> С. 43</w:t>
      </w:r>
      <w:r>
        <w:rPr>
          <w:rFonts w:ascii="Times New Roman" w:hAnsi="Times New Roman" w:cs="Times New Roman"/>
          <w:sz w:val="28"/>
        </w:rPr>
        <w:t>–</w:t>
      </w:r>
      <w:r w:rsidRPr="005C5EAB">
        <w:rPr>
          <w:rFonts w:ascii="Times New Roman" w:hAnsi="Times New Roman" w:cs="Times New Roman"/>
          <w:sz w:val="28"/>
        </w:rPr>
        <w:t>46</w:t>
      </w:r>
      <w:proofErr w:type="gramStart"/>
      <w:r w:rsidRPr="005C5EAB">
        <w:rPr>
          <w:rFonts w:ascii="Times New Roman" w:hAnsi="Times New Roman" w:cs="Times New Roman"/>
          <w:sz w:val="28"/>
        </w:rPr>
        <w:t xml:space="preserve"> :</w:t>
      </w:r>
      <w:proofErr w:type="gramEnd"/>
      <w:r w:rsidRPr="005C5EAB">
        <w:rPr>
          <w:rFonts w:ascii="Times New Roman" w:hAnsi="Times New Roman" w:cs="Times New Roman"/>
          <w:sz w:val="28"/>
        </w:rPr>
        <w:t xml:space="preserve"> 6 табл. </w:t>
      </w:r>
    </w:p>
    <w:p w:rsidR="00B73920" w:rsidRDefault="00B73920" w:rsidP="00B73920">
      <w:pPr>
        <w:pStyle w:val="a3"/>
        <w:ind w:firstLine="709"/>
        <w:jc w:val="both"/>
        <w:rPr>
          <w:rFonts w:ascii="Times New Roman" w:hAnsi="Times New Roman" w:cs="Times New Roman"/>
          <w:sz w:val="24"/>
        </w:rPr>
      </w:pPr>
      <w:r w:rsidRPr="005C5EAB">
        <w:rPr>
          <w:rFonts w:ascii="Times New Roman" w:hAnsi="Times New Roman" w:cs="Times New Roman"/>
          <w:sz w:val="24"/>
        </w:rPr>
        <w:t>Анализируется развитие крестьянских (фермерских) хозяйств с 2006 г. по 2016 г. Установлено, что в эти годы произошло их значительное расслоение по размеру земельной площади и численности работников. Например, у 75% хозяйств земельная площадь не превышает 200 га</w:t>
      </w:r>
      <w:proofErr w:type="gramStart"/>
      <w:r w:rsidRPr="005C5EAB">
        <w:rPr>
          <w:rFonts w:ascii="Times New Roman" w:hAnsi="Times New Roman" w:cs="Times New Roman"/>
          <w:sz w:val="24"/>
        </w:rPr>
        <w:t xml:space="preserve">., </w:t>
      </w:r>
      <w:proofErr w:type="gramEnd"/>
      <w:r w:rsidRPr="005C5EAB">
        <w:rPr>
          <w:rFonts w:ascii="Times New Roman" w:hAnsi="Times New Roman" w:cs="Times New Roman"/>
          <w:sz w:val="24"/>
        </w:rPr>
        <w:t>а владеют они лишь 10% общей земельной площади крестьянских (фермерских) хозяйств. Остальные земли в основном сосредоточены у крупных землевладельцев. В целях создания более эффективных экономических инструментов для развития крестьянских (фермерских) хозяйств и сельских территорий предлагается установить предельные размеры их земельной площади и численности работников.</w:t>
      </w:r>
    </w:p>
    <w:p w:rsidR="00B73920" w:rsidRDefault="00B73920" w:rsidP="00B73920">
      <w:pPr>
        <w:pStyle w:val="a3"/>
        <w:ind w:firstLine="709"/>
        <w:jc w:val="both"/>
        <w:rPr>
          <w:rFonts w:ascii="Times New Roman" w:hAnsi="Times New Roman" w:cs="Times New Roman"/>
          <w:sz w:val="24"/>
        </w:rPr>
      </w:pPr>
    </w:p>
    <w:p w:rsidR="00B73920" w:rsidRPr="00B9123F" w:rsidRDefault="00B73920" w:rsidP="00B73920">
      <w:pPr>
        <w:pStyle w:val="a3"/>
        <w:ind w:firstLine="709"/>
        <w:jc w:val="both"/>
        <w:rPr>
          <w:rFonts w:ascii="Times New Roman" w:hAnsi="Times New Roman" w:cs="Times New Roman"/>
          <w:sz w:val="28"/>
        </w:rPr>
      </w:pPr>
      <w:r w:rsidRPr="00B9123F">
        <w:rPr>
          <w:rFonts w:ascii="Times New Roman" w:hAnsi="Times New Roman" w:cs="Times New Roman"/>
          <w:sz w:val="28"/>
        </w:rPr>
        <w:t>Составитель: Л. М. Бабанина</w:t>
      </w:r>
    </w:p>
    <w:p w:rsidR="00B73920" w:rsidRDefault="00B73920" w:rsidP="00B73920">
      <w:pPr>
        <w:pStyle w:val="a3"/>
      </w:pPr>
    </w:p>
    <w:p w:rsidR="00B73920" w:rsidRDefault="00B73920" w:rsidP="0027448E">
      <w:pPr>
        <w:pStyle w:val="a3"/>
        <w:ind w:firstLine="709"/>
        <w:jc w:val="both"/>
        <w:rPr>
          <w:rFonts w:ascii="Times New Roman" w:eastAsia="Calibri" w:hAnsi="Times New Roman" w:cs="Times New Roman"/>
          <w:color w:val="000000"/>
          <w:sz w:val="24"/>
          <w:szCs w:val="16"/>
        </w:rPr>
      </w:pPr>
    </w:p>
    <w:sectPr w:rsidR="00B7392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E5" w:rsidRDefault="00B80CE5" w:rsidP="00EC2714">
      <w:pPr>
        <w:spacing w:after="0" w:line="240" w:lineRule="auto"/>
      </w:pPr>
      <w:r>
        <w:separator/>
      </w:r>
    </w:p>
  </w:endnote>
  <w:endnote w:type="continuationSeparator" w:id="0">
    <w:p w:rsidR="00B80CE5" w:rsidRDefault="00B80CE5" w:rsidP="00EC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7748"/>
      <w:docPartObj>
        <w:docPartGallery w:val="Page Numbers (Bottom of Page)"/>
        <w:docPartUnique/>
      </w:docPartObj>
    </w:sdtPr>
    <w:sdtEndPr/>
    <w:sdtContent>
      <w:p w:rsidR="00EC2714" w:rsidRDefault="00EC2714">
        <w:pPr>
          <w:pStyle w:val="aa"/>
          <w:jc w:val="center"/>
        </w:pPr>
        <w:r>
          <w:fldChar w:fldCharType="begin"/>
        </w:r>
        <w:r>
          <w:instrText>PAGE   \* MERGEFORMAT</w:instrText>
        </w:r>
        <w:r>
          <w:fldChar w:fldCharType="separate"/>
        </w:r>
        <w:r w:rsidR="008A6958">
          <w:rPr>
            <w:noProof/>
          </w:rPr>
          <w:t>11</w:t>
        </w:r>
        <w:r>
          <w:fldChar w:fldCharType="end"/>
        </w:r>
      </w:p>
    </w:sdtContent>
  </w:sdt>
  <w:p w:rsidR="00EC2714" w:rsidRDefault="00EC27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E5" w:rsidRDefault="00B80CE5" w:rsidP="00EC2714">
      <w:pPr>
        <w:spacing w:after="0" w:line="240" w:lineRule="auto"/>
      </w:pPr>
      <w:r>
        <w:separator/>
      </w:r>
    </w:p>
  </w:footnote>
  <w:footnote w:type="continuationSeparator" w:id="0">
    <w:p w:rsidR="00B80CE5" w:rsidRDefault="00B80CE5" w:rsidP="00EC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elibrary.ru/pic/1pix.gif" style="width:.55pt;height:.55pt;visibility:visible;mso-wrap-style:square" o:bullet="t">
        <v:imagedata r:id="rId1" o:title="1pix"/>
      </v:shape>
    </w:pict>
  </w:numPicBullet>
  <w:abstractNum w:abstractNumId="0">
    <w:nsid w:val="3A7725B5"/>
    <w:multiLevelType w:val="hybridMultilevel"/>
    <w:tmpl w:val="AC46A9D0"/>
    <w:lvl w:ilvl="0" w:tplc="43628B9A">
      <w:start w:val="1"/>
      <w:numFmt w:val="bullet"/>
      <w:lvlText w:val=""/>
      <w:lvlPicBulletId w:val="0"/>
      <w:lvlJc w:val="left"/>
      <w:pPr>
        <w:tabs>
          <w:tab w:val="num" w:pos="720"/>
        </w:tabs>
        <w:ind w:left="720" w:hanging="360"/>
      </w:pPr>
      <w:rPr>
        <w:rFonts w:ascii="Symbol" w:hAnsi="Symbol" w:hint="default"/>
      </w:rPr>
    </w:lvl>
    <w:lvl w:ilvl="1" w:tplc="231686A0" w:tentative="1">
      <w:start w:val="1"/>
      <w:numFmt w:val="bullet"/>
      <w:lvlText w:val=""/>
      <w:lvlJc w:val="left"/>
      <w:pPr>
        <w:tabs>
          <w:tab w:val="num" w:pos="1440"/>
        </w:tabs>
        <w:ind w:left="1440" w:hanging="360"/>
      </w:pPr>
      <w:rPr>
        <w:rFonts w:ascii="Symbol" w:hAnsi="Symbol" w:hint="default"/>
      </w:rPr>
    </w:lvl>
    <w:lvl w:ilvl="2" w:tplc="0FEAF126" w:tentative="1">
      <w:start w:val="1"/>
      <w:numFmt w:val="bullet"/>
      <w:lvlText w:val=""/>
      <w:lvlJc w:val="left"/>
      <w:pPr>
        <w:tabs>
          <w:tab w:val="num" w:pos="2160"/>
        </w:tabs>
        <w:ind w:left="2160" w:hanging="360"/>
      </w:pPr>
      <w:rPr>
        <w:rFonts w:ascii="Symbol" w:hAnsi="Symbol" w:hint="default"/>
      </w:rPr>
    </w:lvl>
    <w:lvl w:ilvl="3" w:tplc="F4F891BA" w:tentative="1">
      <w:start w:val="1"/>
      <w:numFmt w:val="bullet"/>
      <w:lvlText w:val=""/>
      <w:lvlJc w:val="left"/>
      <w:pPr>
        <w:tabs>
          <w:tab w:val="num" w:pos="2880"/>
        </w:tabs>
        <w:ind w:left="2880" w:hanging="360"/>
      </w:pPr>
      <w:rPr>
        <w:rFonts w:ascii="Symbol" w:hAnsi="Symbol" w:hint="default"/>
      </w:rPr>
    </w:lvl>
    <w:lvl w:ilvl="4" w:tplc="258A8F60" w:tentative="1">
      <w:start w:val="1"/>
      <w:numFmt w:val="bullet"/>
      <w:lvlText w:val=""/>
      <w:lvlJc w:val="left"/>
      <w:pPr>
        <w:tabs>
          <w:tab w:val="num" w:pos="3600"/>
        </w:tabs>
        <w:ind w:left="3600" w:hanging="360"/>
      </w:pPr>
      <w:rPr>
        <w:rFonts w:ascii="Symbol" w:hAnsi="Symbol" w:hint="default"/>
      </w:rPr>
    </w:lvl>
    <w:lvl w:ilvl="5" w:tplc="CBF86764" w:tentative="1">
      <w:start w:val="1"/>
      <w:numFmt w:val="bullet"/>
      <w:lvlText w:val=""/>
      <w:lvlJc w:val="left"/>
      <w:pPr>
        <w:tabs>
          <w:tab w:val="num" w:pos="4320"/>
        </w:tabs>
        <w:ind w:left="4320" w:hanging="360"/>
      </w:pPr>
      <w:rPr>
        <w:rFonts w:ascii="Symbol" w:hAnsi="Symbol" w:hint="default"/>
      </w:rPr>
    </w:lvl>
    <w:lvl w:ilvl="6" w:tplc="F2AAF1E6" w:tentative="1">
      <w:start w:val="1"/>
      <w:numFmt w:val="bullet"/>
      <w:lvlText w:val=""/>
      <w:lvlJc w:val="left"/>
      <w:pPr>
        <w:tabs>
          <w:tab w:val="num" w:pos="5040"/>
        </w:tabs>
        <w:ind w:left="5040" w:hanging="360"/>
      </w:pPr>
      <w:rPr>
        <w:rFonts w:ascii="Symbol" w:hAnsi="Symbol" w:hint="default"/>
      </w:rPr>
    </w:lvl>
    <w:lvl w:ilvl="7" w:tplc="AF862062" w:tentative="1">
      <w:start w:val="1"/>
      <w:numFmt w:val="bullet"/>
      <w:lvlText w:val=""/>
      <w:lvlJc w:val="left"/>
      <w:pPr>
        <w:tabs>
          <w:tab w:val="num" w:pos="5760"/>
        </w:tabs>
        <w:ind w:left="5760" w:hanging="360"/>
      </w:pPr>
      <w:rPr>
        <w:rFonts w:ascii="Symbol" w:hAnsi="Symbol" w:hint="default"/>
      </w:rPr>
    </w:lvl>
    <w:lvl w:ilvl="8" w:tplc="CEA654E0" w:tentative="1">
      <w:start w:val="1"/>
      <w:numFmt w:val="bullet"/>
      <w:lvlText w:val=""/>
      <w:lvlJc w:val="left"/>
      <w:pPr>
        <w:tabs>
          <w:tab w:val="num" w:pos="6480"/>
        </w:tabs>
        <w:ind w:left="6480" w:hanging="360"/>
      </w:pPr>
      <w:rPr>
        <w:rFonts w:ascii="Symbol" w:hAnsi="Symbol" w:hint="default"/>
      </w:rPr>
    </w:lvl>
  </w:abstractNum>
  <w:abstractNum w:abstractNumId="1">
    <w:nsid w:val="6E730914"/>
    <w:multiLevelType w:val="hybridMultilevel"/>
    <w:tmpl w:val="DDBE8132"/>
    <w:lvl w:ilvl="0" w:tplc="E6E0B36E">
      <w:start w:val="1"/>
      <w:numFmt w:val="bullet"/>
      <w:lvlText w:val=""/>
      <w:lvlPicBulletId w:val="0"/>
      <w:lvlJc w:val="left"/>
      <w:pPr>
        <w:tabs>
          <w:tab w:val="num" w:pos="786"/>
        </w:tabs>
        <w:ind w:left="786" w:hanging="360"/>
      </w:pPr>
      <w:rPr>
        <w:rFonts w:ascii="Symbol" w:hAnsi="Symbol" w:hint="default"/>
      </w:rPr>
    </w:lvl>
    <w:lvl w:ilvl="1" w:tplc="090C76FA" w:tentative="1">
      <w:start w:val="1"/>
      <w:numFmt w:val="bullet"/>
      <w:lvlText w:val=""/>
      <w:lvlJc w:val="left"/>
      <w:pPr>
        <w:tabs>
          <w:tab w:val="num" w:pos="1440"/>
        </w:tabs>
        <w:ind w:left="1440" w:hanging="360"/>
      </w:pPr>
      <w:rPr>
        <w:rFonts w:ascii="Symbol" w:hAnsi="Symbol" w:hint="default"/>
      </w:rPr>
    </w:lvl>
    <w:lvl w:ilvl="2" w:tplc="EEF23B86" w:tentative="1">
      <w:start w:val="1"/>
      <w:numFmt w:val="bullet"/>
      <w:lvlText w:val=""/>
      <w:lvlJc w:val="left"/>
      <w:pPr>
        <w:tabs>
          <w:tab w:val="num" w:pos="2160"/>
        </w:tabs>
        <w:ind w:left="2160" w:hanging="360"/>
      </w:pPr>
      <w:rPr>
        <w:rFonts w:ascii="Symbol" w:hAnsi="Symbol" w:hint="default"/>
      </w:rPr>
    </w:lvl>
    <w:lvl w:ilvl="3" w:tplc="CCAA30FE" w:tentative="1">
      <w:start w:val="1"/>
      <w:numFmt w:val="bullet"/>
      <w:lvlText w:val=""/>
      <w:lvlJc w:val="left"/>
      <w:pPr>
        <w:tabs>
          <w:tab w:val="num" w:pos="2880"/>
        </w:tabs>
        <w:ind w:left="2880" w:hanging="360"/>
      </w:pPr>
      <w:rPr>
        <w:rFonts w:ascii="Symbol" w:hAnsi="Symbol" w:hint="default"/>
      </w:rPr>
    </w:lvl>
    <w:lvl w:ilvl="4" w:tplc="E4F2A89A" w:tentative="1">
      <w:start w:val="1"/>
      <w:numFmt w:val="bullet"/>
      <w:lvlText w:val=""/>
      <w:lvlJc w:val="left"/>
      <w:pPr>
        <w:tabs>
          <w:tab w:val="num" w:pos="3600"/>
        </w:tabs>
        <w:ind w:left="3600" w:hanging="360"/>
      </w:pPr>
      <w:rPr>
        <w:rFonts w:ascii="Symbol" w:hAnsi="Symbol" w:hint="default"/>
      </w:rPr>
    </w:lvl>
    <w:lvl w:ilvl="5" w:tplc="8536E562" w:tentative="1">
      <w:start w:val="1"/>
      <w:numFmt w:val="bullet"/>
      <w:lvlText w:val=""/>
      <w:lvlJc w:val="left"/>
      <w:pPr>
        <w:tabs>
          <w:tab w:val="num" w:pos="4320"/>
        </w:tabs>
        <w:ind w:left="4320" w:hanging="360"/>
      </w:pPr>
      <w:rPr>
        <w:rFonts w:ascii="Symbol" w:hAnsi="Symbol" w:hint="default"/>
      </w:rPr>
    </w:lvl>
    <w:lvl w:ilvl="6" w:tplc="61E024A2" w:tentative="1">
      <w:start w:val="1"/>
      <w:numFmt w:val="bullet"/>
      <w:lvlText w:val=""/>
      <w:lvlJc w:val="left"/>
      <w:pPr>
        <w:tabs>
          <w:tab w:val="num" w:pos="5040"/>
        </w:tabs>
        <w:ind w:left="5040" w:hanging="360"/>
      </w:pPr>
      <w:rPr>
        <w:rFonts w:ascii="Symbol" w:hAnsi="Symbol" w:hint="default"/>
      </w:rPr>
    </w:lvl>
    <w:lvl w:ilvl="7" w:tplc="BFF6CB82" w:tentative="1">
      <w:start w:val="1"/>
      <w:numFmt w:val="bullet"/>
      <w:lvlText w:val=""/>
      <w:lvlJc w:val="left"/>
      <w:pPr>
        <w:tabs>
          <w:tab w:val="num" w:pos="5760"/>
        </w:tabs>
        <w:ind w:left="5760" w:hanging="360"/>
      </w:pPr>
      <w:rPr>
        <w:rFonts w:ascii="Symbol" w:hAnsi="Symbol" w:hint="default"/>
      </w:rPr>
    </w:lvl>
    <w:lvl w:ilvl="8" w:tplc="F76A4F8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05"/>
    <w:rsid w:val="00016331"/>
    <w:rsid w:val="000465E1"/>
    <w:rsid w:val="000513B8"/>
    <w:rsid w:val="000650B5"/>
    <w:rsid w:val="00071721"/>
    <w:rsid w:val="000B576B"/>
    <w:rsid w:val="000D696E"/>
    <w:rsid w:val="00106B7B"/>
    <w:rsid w:val="00162401"/>
    <w:rsid w:val="00186641"/>
    <w:rsid w:val="00197809"/>
    <w:rsid w:val="001F44A1"/>
    <w:rsid w:val="00205A05"/>
    <w:rsid w:val="00236FAF"/>
    <w:rsid w:val="00242F7F"/>
    <w:rsid w:val="002578AD"/>
    <w:rsid w:val="0027448E"/>
    <w:rsid w:val="00320D5F"/>
    <w:rsid w:val="00366D0D"/>
    <w:rsid w:val="003B7FC1"/>
    <w:rsid w:val="00433622"/>
    <w:rsid w:val="00456E21"/>
    <w:rsid w:val="004C6506"/>
    <w:rsid w:val="004E4E82"/>
    <w:rsid w:val="005140D1"/>
    <w:rsid w:val="00581A61"/>
    <w:rsid w:val="005925C1"/>
    <w:rsid w:val="00597FAB"/>
    <w:rsid w:val="005C5EAB"/>
    <w:rsid w:val="00625BDF"/>
    <w:rsid w:val="00650205"/>
    <w:rsid w:val="00655054"/>
    <w:rsid w:val="006561AF"/>
    <w:rsid w:val="0066055C"/>
    <w:rsid w:val="006A54A2"/>
    <w:rsid w:val="007577C1"/>
    <w:rsid w:val="00775907"/>
    <w:rsid w:val="007C3AC0"/>
    <w:rsid w:val="008756B1"/>
    <w:rsid w:val="0088182C"/>
    <w:rsid w:val="00887001"/>
    <w:rsid w:val="008A0802"/>
    <w:rsid w:val="008A6958"/>
    <w:rsid w:val="008A6AF2"/>
    <w:rsid w:val="008B0B76"/>
    <w:rsid w:val="008D21E7"/>
    <w:rsid w:val="008E2A4F"/>
    <w:rsid w:val="008F2545"/>
    <w:rsid w:val="00930B53"/>
    <w:rsid w:val="009452E5"/>
    <w:rsid w:val="00965B42"/>
    <w:rsid w:val="00976536"/>
    <w:rsid w:val="00992B04"/>
    <w:rsid w:val="00993738"/>
    <w:rsid w:val="009A2CEE"/>
    <w:rsid w:val="009C5DD7"/>
    <w:rsid w:val="00AD5D25"/>
    <w:rsid w:val="00AF0815"/>
    <w:rsid w:val="00B0146F"/>
    <w:rsid w:val="00B47302"/>
    <w:rsid w:val="00B73920"/>
    <w:rsid w:val="00B800F0"/>
    <w:rsid w:val="00B80CE5"/>
    <w:rsid w:val="00B9123F"/>
    <w:rsid w:val="00BB67E7"/>
    <w:rsid w:val="00BD278D"/>
    <w:rsid w:val="00BE1887"/>
    <w:rsid w:val="00C953B5"/>
    <w:rsid w:val="00CC1F6A"/>
    <w:rsid w:val="00D74B6D"/>
    <w:rsid w:val="00D97645"/>
    <w:rsid w:val="00E50948"/>
    <w:rsid w:val="00E90758"/>
    <w:rsid w:val="00EB6A03"/>
    <w:rsid w:val="00EC2714"/>
    <w:rsid w:val="00ED3AB7"/>
    <w:rsid w:val="00EE21A9"/>
    <w:rsid w:val="00F2374C"/>
    <w:rsid w:val="00F60F97"/>
    <w:rsid w:val="00F65D9E"/>
    <w:rsid w:val="00F82B46"/>
    <w:rsid w:val="00F837B7"/>
    <w:rsid w:val="00FF457A"/>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45"/>
    <w:rPr>
      <w:rFonts w:ascii="Times New Roman" w:eastAsia="Calibri" w:hAnsi="Times New Roman" w:cs="Times New Roman"/>
      <w:color w:val="000000"/>
      <w:sz w:val="24"/>
      <w:szCs w:val="24"/>
      <w:lang w:eastAsia="ru-RU"/>
    </w:rPr>
  </w:style>
  <w:style w:type="paragraph" w:styleId="1">
    <w:name w:val="heading 1"/>
    <w:basedOn w:val="a"/>
    <w:next w:val="a"/>
    <w:link w:val="10"/>
    <w:uiPriority w:val="9"/>
    <w:qFormat/>
    <w:rsid w:val="00051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079"/>
    <w:pPr>
      <w:spacing w:after="0" w:line="240" w:lineRule="auto"/>
    </w:pPr>
  </w:style>
  <w:style w:type="paragraph" w:styleId="a4">
    <w:name w:val="Normal (Web)"/>
    <w:basedOn w:val="a"/>
    <w:uiPriority w:val="99"/>
    <w:semiHidden/>
    <w:unhideWhenUsed/>
    <w:rsid w:val="00FF7079"/>
    <w:pPr>
      <w:spacing w:before="100" w:beforeAutospacing="1" w:after="100" w:afterAutospacing="1" w:line="240" w:lineRule="auto"/>
    </w:pPr>
    <w:rPr>
      <w:rFonts w:eastAsia="Times New Roman"/>
    </w:rPr>
  </w:style>
  <w:style w:type="paragraph" w:styleId="a5">
    <w:name w:val="List Paragraph"/>
    <w:basedOn w:val="a"/>
    <w:uiPriority w:val="34"/>
    <w:qFormat/>
    <w:rsid w:val="00236FAF"/>
    <w:pPr>
      <w:ind w:left="720"/>
      <w:contextualSpacing/>
    </w:pPr>
    <w:rPr>
      <w:rFonts w:asciiTheme="minorHAnsi" w:eastAsiaTheme="minorHAnsi" w:hAnsiTheme="minorHAnsi" w:cstheme="minorBidi"/>
      <w:color w:val="auto"/>
      <w:sz w:val="22"/>
      <w:szCs w:val="22"/>
      <w:lang w:eastAsia="en-US"/>
    </w:rPr>
  </w:style>
  <w:style w:type="table" w:customStyle="1" w:styleId="11">
    <w:name w:val="Сетка таблицы1"/>
    <w:basedOn w:val="a1"/>
    <w:uiPriority w:val="59"/>
    <w:rsid w:val="0010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6B7B"/>
    <w:pPr>
      <w:spacing w:after="0" w:line="240" w:lineRule="auto"/>
    </w:pPr>
    <w:rPr>
      <w:rFonts w:ascii="Tahoma" w:eastAsiaTheme="minorHAnsi" w:hAnsi="Tahoma" w:cs="Tahoma"/>
      <w:color w:val="auto"/>
      <w:sz w:val="16"/>
      <w:szCs w:val="16"/>
      <w:lang w:eastAsia="en-US"/>
    </w:rPr>
  </w:style>
  <w:style w:type="character" w:customStyle="1" w:styleId="a7">
    <w:name w:val="Текст выноски Знак"/>
    <w:basedOn w:val="a0"/>
    <w:link w:val="a6"/>
    <w:uiPriority w:val="99"/>
    <w:semiHidden/>
    <w:rsid w:val="00106B7B"/>
    <w:rPr>
      <w:rFonts w:ascii="Tahoma" w:hAnsi="Tahoma" w:cs="Tahoma"/>
      <w:sz w:val="16"/>
      <w:szCs w:val="16"/>
    </w:rPr>
  </w:style>
  <w:style w:type="paragraph" w:styleId="a8">
    <w:name w:val="header"/>
    <w:basedOn w:val="a"/>
    <w:link w:val="a9"/>
    <w:uiPriority w:val="99"/>
    <w:unhideWhenUsed/>
    <w:rsid w:val="00EC2714"/>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9">
    <w:name w:val="Верхний колонтитул Знак"/>
    <w:basedOn w:val="a0"/>
    <w:link w:val="a8"/>
    <w:uiPriority w:val="99"/>
    <w:rsid w:val="00EC2714"/>
  </w:style>
  <w:style w:type="paragraph" w:styleId="aa">
    <w:name w:val="footer"/>
    <w:basedOn w:val="a"/>
    <w:link w:val="ab"/>
    <w:uiPriority w:val="99"/>
    <w:unhideWhenUsed/>
    <w:rsid w:val="00EC2714"/>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b">
    <w:name w:val="Нижний колонтитул Знак"/>
    <w:basedOn w:val="a0"/>
    <w:link w:val="aa"/>
    <w:uiPriority w:val="99"/>
    <w:rsid w:val="00EC2714"/>
  </w:style>
  <w:style w:type="character" w:styleId="ac">
    <w:name w:val="Hyperlink"/>
    <w:basedOn w:val="a0"/>
    <w:uiPriority w:val="99"/>
    <w:unhideWhenUsed/>
    <w:rsid w:val="008F2545"/>
    <w:rPr>
      <w:color w:val="0000FF" w:themeColor="hyperlink"/>
      <w:u w:val="single"/>
    </w:rPr>
  </w:style>
  <w:style w:type="character" w:customStyle="1" w:styleId="10">
    <w:name w:val="Заголовок 1 Знак"/>
    <w:basedOn w:val="a0"/>
    <w:link w:val="1"/>
    <w:uiPriority w:val="9"/>
    <w:rsid w:val="000513B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45"/>
    <w:rPr>
      <w:rFonts w:ascii="Times New Roman" w:eastAsia="Calibri" w:hAnsi="Times New Roman" w:cs="Times New Roman"/>
      <w:color w:val="000000"/>
      <w:sz w:val="24"/>
      <w:szCs w:val="24"/>
      <w:lang w:eastAsia="ru-RU"/>
    </w:rPr>
  </w:style>
  <w:style w:type="paragraph" w:styleId="1">
    <w:name w:val="heading 1"/>
    <w:basedOn w:val="a"/>
    <w:next w:val="a"/>
    <w:link w:val="10"/>
    <w:uiPriority w:val="9"/>
    <w:qFormat/>
    <w:rsid w:val="00051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7079"/>
    <w:pPr>
      <w:spacing w:after="0" w:line="240" w:lineRule="auto"/>
    </w:pPr>
  </w:style>
  <w:style w:type="paragraph" w:styleId="a4">
    <w:name w:val="Normal (Web)"/>
    <w:basedOn w:val="a"/>
    <w:uiPriority w:val="99"/>
    <w:semiHidden/>
    <w:unhideWhenUsed/>
    <w:rsid w:val="00FF7079"/>
    <w:pPr>
      <w:spacing w:before="100" w:beforeAutospacing="1" w:after="100" w:afterAutospacing="1" w:line="240" w:lineRule="auto"/>
    </w:pPr>
    <w:rPr>
      <w:rFonts w:eastAsia="Times New Roman"/>
    </w:rPr>
  </w:style>
  <w:style w:type="paragraph" w:styleId="a5">
    <w:name w:val="List Paragraph"/>
    <w:basedOn w:val="a"/>
    <w:uiPriority w:val="34"/>
    <w:qFormat/>
    <w:rsid w:val="00236FAF"/>
    <w:pPr>
      <w:ind w:left="720"/>
      <w:contextualSpacing/>
    </w:pPr>
    <w:rPr>
      <w:rFonts w:asciiTheme="minorHAnsi" w:eastAsiaTheme="minorHAnsi" w:hAnsiTheme="minorHAnsi" w:cstheme="minorBidi"/>
      <w:color w:val="auto"/>
      <w:sz w:val="22"/>
      <w:szCs w:val="22"/>
      <w:lang w:eastAsia="en-US"/>
    </w:rPr>
  </w:style>
  <w:style w:type="table" w:customStyle="1" w:styleId="11">
    <w:name w:val="Сетка таблицы1"/>
    <w:basedOn w:val="a1"/>
    <w:uiPriority w:val="59"/>
    <w:rsid w:val="0010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6B7B"/>
    <w:pPr>
      <w:spacing w:after="0" w:line="240" w:lineRule="auto"/>
    </w:pPr>
    <w:rPr>
      <w:rFonts w:ascii="Tahoma" w:eastAsiaTheme="minorHAnsi" w:hAnsi="Tahoma" w:cs="Tahoma"/>
      <w:color w:val="auto"/>
      <w:sz w:val="16"/>
      <w:szCs w:val="16"/>
      <w:lang w:eastAsia="en-US"/>
    </w:rPr>
  </w:style>
  <w:style w:type="character" w:customStyle="1" w:styleId="a7">
    <w:name w:val="Текст выноски Знак"/>
    <w:basedOn w:val="a0"/>
    <w:link w:val="a6"/>
    <w:uiPriority w:val="99"/>
    <w:semiHidden/>
    <w:rsid w:val="00106B7B"/>
    <w:rPr>
      <w:rFonts w:ascii="Tahoma" w:hAnsi="Tahoma" w:cs="Tahoma"/>
      <w:sz w:val="16"/>
      <w:szCs w:val="16"/>
    </w:rPr>
  </w:style>
  <w:style w:type="paragraph" w:styleId="a8">
    <w:name w:val="header"/>
    <w:basedOn w:val="a"/>
    <w:link w:val="a9"/>
    <w:uiPriority w:val="99"/>
    <w:unhideWhenUsed/>
    <w:rsid w:val="00EC2714"/>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9">
    <w:name w:val="Верхний колонтитул Знак"/>
    <w:basedOn w:val="a0"/>
    <w:link w:val="a8"/>
    <w:uiPriority w:val="99"/>
    <w:rsid w:val="00EC2714"/>
  </w:style>
  <w:style w:type="paragraph" w:styleId="aa">
    <w:name w:val="footer"/>
    <w:basedOn w:val="a"/>
    <w:link w:val="ab"/>
    <w:uiPriority w:val="99"/>
    <w:unhideWhenUsed/>
    <w:rsid w:val="00EC2714"/>
    <w:pPr>
      <w:tabs>
        <w:tab w:val="center" w:pos="4677"/>
        <w:tab w:val="right" w:pos="9355"/>
      </w:tabs>
      <w:spacing w:after="0" w:line="240" w:lineRule="auto"/>
    </w:pPr>
    <w:rPr>
      <w:rFonts w:asciiTheme="minorHAnsi" w:eastAsiaTheme="minorHAnsi" w:hAnsiTheme="minorHAnsi" w:cstheme="minorBidi"/>
      <w:color w:val="auto"/>
      <w:sz w:val="22"/>
      <w:szCs w:val="22"/>
      <w:lang w:eastAsia="en-US"/>
    </w:rPr>
  </w:style>
  <w:style w:type="character" w:customStyle="1" w:styleId="ab">
    <w:name w:val="Нижний колонтитул Знак"/>
    <w:basedOn w:val="a0"/>
    <w:link w:val="aa"/>
    <w:uiPriority w:val="99"/>
    <w:rsid w:val="00EC2714"/>
  </w:style>
  <w:style w:type="character" w:styleId="ac">
    <w:name w:val="Hyperlink"/>
    <w:basedOn w:val="a0"/>
    <w:uiPriority w:val="99"/>
    <w:unhideWhenUsed/>
    <w:rsid w:val="008F2545"/>
    <w:rPr>
      <w:color w:val="0000FF" w:themeColor="hyperlink"/>
      <w:u w:val="single"/>
    </w:rPr>
  </w:style>
  <w:style w:type="character" w:customStyle="1" w:styleId="10">
    <w:name w:val="Заголовок 1 Знак"/>
    <w:basedOn w:val="a0"/>
    <w:link w:val="1"/>
    <w:uiPriority w:val="9"/>
    <w:rsid w:val="000513B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4792">
      <w:bodyDiv w:val="1"/>
      <w:marLeft w:val="0"/>
      <w:marRight w:val="0"/>
      <w:marTop w:val="0"/>
      <w:marBottom w:val="0"/>
      <w:divBdr>
        <w:top w:val="none" w:sz="0" w:space="0" w:color="auto"/>
        <w:left w:val="none" w:sz="0" w:space="0" w:color="auto"/>
        <w:bottom w:val="none" w:sz="0" w:space="0" w:color="auto"/>
        <w:right w:val="none" w:sz="0" w:space="0" w:color="auto"/>
      </w:divBdr>
    </w:div>
    <w:div w:id="255791956">
      <w:bodyDiv w:val="1"/>
      <w:marLeft w:val="0"/>
      <w:marRight w:val="0"/>
      <w:marTop w:val="0"/>
      <w:marBottom w:val="0"/>
      <w:divBdr>
        <w:top w:val="none" w:sz="0" w:space="0" w:color="auto"/>
        <w:left w:val="none" w:sz="0" w:space="0" w:color="auto"/>
        <w:bottom w:val="none" w:sz="0" w:space="0" w:color="auto"/>
        <w:right w:val="none" w:sz="0" w:space="0" w:color="auto"/>
      </w:divBdr>
    </w:div>
    <w:div w:id="370887125">
      <w:bodyDiv w:val="1"/>
      <w:marLeft w:val="0"/>
      <w:marRight w:val="0"/>
      <w:marTop w:val="0"/>
      <w:marBottom w:val="0"/>
      <w:divBdr>
        <w:top w:val="none" w:sz="0" w:space="0" w:color="auto"/>
        <w:left w:val="none" w:sz="0" w:space="0" w:color="auto"/>
        <w:bottom w:val="none" w:sz="0" w:space="0" w:color="auto"/>
        <w:right w:val="none" w:sz="0" w:space="0" w:color="auto"/>
      </w:divBdr>
    </w:div>
    <w:div w:id="538932326">
      <w:bodyDiv w:val="1"/>
      <w:marLeft w:val="0"/>
      <w:marRight w:val="0"/>
      <w:marTop w:val="0"/>
      <w:marBottom w:val="0"/>
      <w:divBdr>
        <w:top w:val="none" w:sz="0" w:space="0" w:color="auto"/>
        <w:left w:val="none" w:sz="0" w:space="0" w:color="auto"/>
        <w:bottom w:val="none" w:sz="0" w:space="0" w:color="auto"/>
        <w:right w:val="none" w:sz="0" w:space="0" w:color="auto"/>
      </w:divBdr>
    </w:div>
    <w:div w:id="682786500">
      <w:bodyDiv w:val="1"/>
      <w:marLeft w:val="0"/>
      <w:marRight w:val="0"/>
      <w:marTop w:val="0"/>
      <w:marBottom w:val="0"/>
      <w:divBdr>
        <w:top w:val="none" w:sz="0" w:space="0" w:color="auto"/>
        <w:left w:val="none" w:sz="0" w:space="0" w:color="auto"/>
        <w:bottom w:val="none" w:sz="0" w:space="0" w:color="auto"/>
        <w:right w:val="none" w:sz="0" w:space="0" w:color="auto"/>
      </w:divBdr>
    </w:div>
    <w:div w:id="849293166">
      <w:bodyDiv w:val="1"/>
      <w:marLeft w:val="0"/>
      <w:marRight w:val="0"/>
      <w:marTop w:val="0"/>
      <w:marBottom w:val="0"/>
      <w:divBdr>
        <w:top w:val="none" w:sz="0" w:space="0" w:color="auto"/>
        <w:left w:val="none" w:sz="0" w:space="0" w:color="auto"/>
        <w:bottom w:val="none" w:sz="0" w:space="0" w:color="auto"/>
        <w:right w:val="none" w:sz="0" w:space="0" w:color="auto"/>
      </w:divBdr>
    </w:div>
    <w:div w:id="1316033870">
      <w:bodyDiv w:val="1"/>
      <w:marLeft w:val="0"/>
      <w:marRight w:val="0"/>
      <w:marTop w:val="0"/>
      <w:marBottom w:val="0"/>
      <w:divBdr>
        <w:top w:val="none" w:sz="0" w:space="0" w:color="auto"/>
        <w:left w:val="none" w:sz="0" w:space="0" w:color="auto"/>
        <w:bottom w:val="none" w:sz="0" w:space="0" w:color="auto"/>
        <w:right w:val="none" w:sz="0" w:space="0" w:color="auto"/>
      </w:divBdr>
    </w:div>
    <w:div w:id="1859735007">
      <w:bodyDiv w:val="1"/>
      <w:marLeft w:val="0"/>
      <w:marRight w:val="0"/>
      <w:marTop w:val="0"/>
      <w:marBottom w:val="0"/>
      <w:divBdr>
        <w:top w:val="none" w:sz="0" w:space="0" w:color="auto"/>
        <w:left w:val="none" w:sz="0" w:space="0" w:color="auto"/>
        <w:bottom w:val="none" w:sz="0" w:space="0" w:color="auto"/>
        <w:right w:val="none" w:sz="0" w:space="0" w:color="auto"/>
      </w:divBdr>
    </w:div>
    <w:div w:id="1867867412">
      <w:bodyDiv w:val="1"/>
      <w:marLeft w:val="0"/>
      <w:marRight w:val="0"/>
      <w:marTop w:val="0"/>
      <w:marBottom w:val="0"/>
      <w:divBdr>
        <w:top w:val="none" w:sz="0" w:space="0" w:color="auto"/>
        <w:left w:val="none" w:sz="0" w:space="0" w:color="auto"/>
        <w:bottom w:val="none" w:sz="0" w:space="0" w:color="auto"/>
        <w:right w:val="none" w:sz="0" w:space="0" w:color="auto"/>
      </w:divBdr>
    </w:div>
    <w:div w:id="1902867856">
      <w:bodyDiv w:val="1"/>
      <w:marLeft w:val="0"/>
      <w:marRight w:val="0"/>
      <w:marTop w:val="0"/>
      <w:marBottom w:val="0"/>
      <w:divBdr>
        <w:top w:val="none" w:sz="0" w:space="0" w:color="auto"/>
        <w:left w:val="none" w:sz="0" w:space="0" w:color="auto"/>
        <w:bottom w:val="none" w:sz="0" w:space="0" w:color="auto"/>
        <w:right w:val="none" w:sz="0" w:space="0" w:color="auto"/>
      </w:divBdr>
    </w:div>
    <w:div w:id="1993213797">
      <w:bodyDiv w:val="1"/>
      <w:marLeft w:val="0"/>
      <w:marRight w:val="0"/>
      <w:marTop w:val="0"/>
      <w:marBottom w:val="0"/>
      <w:divBdr>
        <w:top w:val="none" w:sz="0" w:space="0" w:color="auto"/>
        <w:left w:val="none" w:sz="0" w:space="0" w:color="auto"/>
        <w:bottom w:val="none" w:sz="0" w:space="0" w:color="auto"/>
        <w:right w:val="none" w:sz="0" w:space="0" w:color="auto"/>
      </w:divBdr>
    </w:div>
    <w:div w:id="20518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4826</Words>
  <Characters>27510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101</cp:revision>
  <dcterms:created xsi:type="dcterms:W3CDTF">2018-07-10T08:17:00Z</dcterms:created>
  <dcterms:modified xsi:type="dcterms:W3CDTF">2018-11-20T08:59:00Z</dcterms:modified>
</cp:coreProperties>
</file>