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CE" w:rsidRDefault="003815CE" w:rsidP="0066171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815CE" w:rsidRDefault="003815CE" w:rsidP="0066171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61715" w:rsidRDefault="00661715" w:rsidP="0066171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Вторичный отбор документов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Своевременное выявление и исключение документов является необходимым условием оптимизации библиотечного фонда. В планах  любой библиотеки должны планироваться мероприятия по вторичному отбору документов по всем разделам библиотечного фонда. </w:t>
      </w:r>
    </w:p>
    <w:p w:rsidR="00661715" w:rsidRDefault="00661715" w:rsidP="00661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Вторичный отбор</w:t>
      </w:r>
      <w:r>
        <w:rPr>
          <w:rFonts w:ascii="Times New Roman" w:hAnsi="Times New Roman"/>
          <w:sz w:val="28"/>
          <w:szCs w:val="28"/>
        </w:rPr>
        <w:t xml:space="preserve"> – это выявление из библиотечного фонда ветхих, испорченных, устаревших, непрофильных и излишне дублетных документов с целью их исключения.  Необходимость вторичного отбора вызвана следующими обстоятельствами:</w:t>
      </w:r>
    </w:p>
    <w:p w:rsidR="00661715" w:rsidRDefault="00661715" w:rsidP="0066171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Естественным старением материального носителя документа.  Любой  носитель информации имеет свои ограниченные сроки эксплуатации, за пределами которых он теряет функциональные свойства: разрушается, размагничивается и данный  процесс ускоряется при интенсивном использовании документа.</w:t>
      </w:r>
    </w:p>
    <w:p w:rsidR="00661715" w:rsidRDefault="00661715" w:rsidP="00661715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Естественным старением информации в документе и утратой ее полезности для потребителей.</w:t>
      </w:r>
    </w:p>
    <w:p w:rsidR="00661715" w:rsidRDefault="00661715" w:rsidP="00661715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Изменениями в спросе на документы, связанными как с устареванием информации, так и с развитием информационных потребностей.</w:t>
      </w:r>
    </w:p>
    <w:p w:rsidR="00661715" w:rsidRDefault="00661715" w:rsidP="00661715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Ошибками, допущенными в ходе первичного отбора документов, вследствие субъективизма комплектатора.</w:t>
      </w:r>
    </w:p>
    <w:p w:rsidR="00661715" w:rsidRDefault="00661715" w:rsidP="00661715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Ограниченностью материальных ресурсов для хранения всех приобретенных документов, когда  становится необходимым высвобождение пространства для новых, более востребованных документов за счет исключения документов, утративших актуальность.</w:t>
      </w:r>
    </w:p>
    <w:p w:rsidR="00661715" w:rsidRDefault="00661715" w:rsidP="00661715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Утратой или повреждением документа вследствие халатности и недобросовестности сотрудников, пользователей при хранении и  использовании документа.</w:t>
      </w:r>
    </w:p>
    <w:p w:rsidR="00661715" w:rsidRDefault="00661715" w:rsidP="0066171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l0"/>
      <w:bookmarkStart w:id="1" w:name="l1"/>
      <w:bookmarkStart w:id="2" w:name="h1"/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Причины исключения для разных видов документов строго регламентированы 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приказе Министерства культуры РФ от 08.10.2012 г.       N 1077 «Порядок учета документов, входящих в состав библиотечного фонда»: ветхость, дефектность, устарелость по содержанию,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непрофильность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утрата документов. 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Ветхость</w:t>
      </w:r>
      <w:r>
        <w:rPr>
          <w:rFonts w:ascii="Times New Roman" w:hAnsi="Times New Roman"/>
          <w:sz w:val="28"/>
          <w:szCs w:val="28"/>
        </w:rPr>
        <w:t xml:space="preserve"> - издания, пришедшие в негодное для использования состояние и неподдающиеся </w:t>
      </w:r>
      <w:proofErr w:type="gramStart"/>
      <w:r>
        <w:rPr>
          <w:rFonts w:ascii="Times New Roman" w:hAnsi="Times New Roman"/>
          <w:sz w:val="28"/>
          <w:szCs w:val="28"/>
        </w:rPr>
        <w:t>реставрации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и восстановление экономически нецелесообразно: </w:t>
      </w:r>
    </w:p>
    <w:p w:rsidR="00661715" w:rsidRDefault="00661715" w:rsidP="00661715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Естественное старение полиграфических материалов носителя информации (пожелтение документов под влиянием факторов внешней среды, дубление переплета, химическое разложение, угасание текста, утрата качества изображения и т.п.);</w:t>
      </w:r>
    </w:p>
    <w:p w:rsidR="00661715" w:rsidRDefault="00661715" w:rsidP="00661715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изношенность изданий в результате использования читателями (книговыдача): механические повреждения (разрывы, обломы, трещины и т.д.);</w:t>
      </w:r>
    </w:p>
    <w:p w:rsidR="00661715" w:rsidRDefault="00661715" w:rsidP="00661715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Преднамеренная порча изданий читателями (в тех случаях, когда конкретный виновник не может быть установлен): вырывание и вырезание страниц и т.д.;</w:t>
      </w:r>
    </w:p>
    <w:p w:rsidR="00661715" w:rsidRDefault="00661715" w:rsidP="00661715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Порча, вследствие хранения в условиях, не соответствующих установленным требованиям: наличие биологических повреждений, коробление, выгорание текста, царапины на дисках, заломы или разрывы лент и т.д.)</w:t>
      </w:r>
      <w:proofErr w:type="gramEnd"/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i/>
          <w:sz w:val="28"/>
          <w:szCs w:val="28"/>
        </w:rPr>
        <w:t>Дефектность</w:t>
      </w:r>
      <w:r>
        <w:rPr>
          <w:rFonts w:ascii="Times New Roman" w:hAnsi="Times New Roman"/>
          <w:sz w:val="28"/>
          <w:szCs w:val="28"/>
        </w:rPr>
        <w:t xml:space="preserve"> – утрата фрагментов текста; полиграфические дефекты: неправильно сброшюрованные страницы, отсутствие тетрадей в блоке; некачественное фотографическое изображение документов на микроформах; дефекты и механические повреждения дисков и пленочных носителей (скручивание, высыхание, разрывы, обломы ленты и т.д.).</w:t>
      </w:r>
    </w:p>
    <w:p w:rsidR="00661715" w:rsidRDefault="00661715" w:rsidP="00661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3. Непрофильные документы.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Порядком N 1077 уточнено понятие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непрофильности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Непрофильность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документов устанавливается на основе профиля комплектования фонда или иного нормативного документа, утверждаемого руководителем библиотеки. По причине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непрофильности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исключаются из фонда документы, не комплектуемые библиотекой (при отказе от комплектования отдельных категорий документов), излишне дублетные экземпляры, замененные более полными по содержанию, лучшими по оформлению, физическому состоянию изданиями; по истечении срока хранения документов, при низком уровне читательского спроса, при несоответствии электронных документов техническому и программному обеспечению библиотеки.</w:t>
      </w:r>
    </w:p>
    <w:p w:rsidR="00661715" w:rsidRDefault="00661715" w:rsidP="00661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Устаревшие по содержанию документы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уменьшение спроса по причине утраты научной, практической и историко-культурной ценности и актуальности; наличие исправленных и дополненных переизданий.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Утрата документов: 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утрате документов (утери читателями)  из фонда, согласно установленным требованиям, принимается равноценный документ взамен утраченного.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При утрате документов, когда использовались всевозможные методы с должниками не ранее, чем через 3 года с момента задолженности (после истечения срока исковой давности). 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Документы, недостача которых установлена при инвентаризации и отнесена за счет виновных лиц в фонде открытого (свободного) доступа и в закрытом фонде; 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Документы, утрата которых выявлена в связи с </w:t>
      </w:r>
      <w:proofErr w:type="spellStart"/>
      <w:r>
        <w:rPr>
          <w:rFonts w:ascii="Times New Roman" w:hAnsi="Times New Roman"/>
          <w:sz w:val="28"/>
          <w:szCs w:val="28"/>
        </w:rPr>
        <w:t>неустановлением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виновных лиц: похищенные документы с выставок; утраченные при пересылке (почтой) МБА; не поступившие по подписке; 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Утрата вследствие бедствий стихийного и техногенного характера.</w:t>
      </w:r>
    </w:p>
    <w:p w:rsidR="00661715" w:rsidRDefault="00661715" w:rsidP="00661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Исключение документов временного хранения: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периодические издания: по истечении сроков хранения; неполные комплекты периодических </w:t>
      </w:r>
      <w:r>
        <w:rPr>
          <w:rFonts w:ascii="Times New Roman" w:hAnsi="Times New Roman"/>
          <w:sz w:val="28"/>
          <w:szCs w:val="28"/>
        </w:rPr>
        <w:lastRenderedPageBreak/>
        <w:t>изданий, разрозненные номера газет и журналов; брошюры исключаются по истечении 5-летнего срока хранения.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Вторичный отбор документов это своего рода ревизия документного фонда. Путем визуального просмотра фонда, а также на основе повседневных наблюдений при выдаче документов по запросам пользователей выявляется пассивная часть документного фонда, с которой в дальнейшем и производится работа по </w:t>
      </w:r>
      <w:proofErr w:type="spellStart"/>
      <w:r>
        <w:rPr>
          <w:rFonts w:ascii="Times New Roman" w:hAnsi="Times New Roman"/>
          <w:sz w:val="28"/>
          <w:szCs w:val="28"/>
        </w:rPr>
        <w:t>рекомплектованию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. Цель процесса – выявить малоспрашиваемые документы для дальнейшего  выяснения причин их </w:t>
      </w:r>
      <w:proofErr w:type="spellStart"/>
      <w:r>
        <w:rPr>
          <w:rFonts w:ascii="Times New Roman" w:hAnsi="Times New Roman"/>
          <w:sz w:val="28"/>
          <w:szCs w:val="28"/>
        </w:rPr>
        <w:t>невостребованности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пользователями. 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Теоретики и практики библиотечного дела к малоиспользуемой литературе относят произведения печати, выпущенные 15-20 лет назад, периодические издания 5-10 летней давности, на которые не поступало запросов в течение последних 4-5 лет. К местным изданиям отношение должно быть другое. В любом случае, конкретное решение о сроках хранения принадлежит практикам. </w:t>
      </w:r>
    </w:p>
    <w:p w:rsidR="00661715" w:rsidRDefault="00661715" w:rsidP="00661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отметить, что процесс устаревания документов неоднозначен. Устаревшими по содержанию считаются документы, полностью утратившие свою информативность и актуальность в политическом, научном и производственном отношении или в связи с выходом аналогичных произведений, освещающих вопрос более полно, точно, в свете современных научных знаний и соответствующей современным требованиям. К указанным документам относятся:</w:t>
      </w:r>
    </w:p>
    <w:p w:rsidR="00661715" w:rsidRDefault="00661715" w:rsidP="00661715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утратившая силу нормативно-техническая документация:</w:t>
      </w:r>
    </w:p>
    <w:p w:rsidR="00661715" w:rsidRDefault="00661715" w:rsidP="00661715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и брошюры, описывающие передовой опыт;</w:t>
      </w:r>
    </w:p>
    <w:p w:rsidR="00661715" w:rsidRDefault="00661715" w:rsidP="00661715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 и учебные пособия  после выхода новых аналогичных учебников и пособий;</w:t>
      </w:r>
    </w:p>
    <w:p w:rsidR="00661715" w:rsidRDefault="00661715" w:rsidP="00661715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справочники и материалы  для поступающих в учебные заведения – после выхода новых изданий; </w:t>
      </w:r>
    </w:p>
    <w:p w:rsidR="00661715" w:rsidRDefault="00661715" w:rsidP="00661715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массовая юридическая литература, вышедшая до принятия новых законов;</w:t>
      </w:r>
    </w:p>
    <w:p w:rsidR="00661715" w:rsidRDefault="00661715" w:rsidP="00661715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литература, содержащая толкование утративших силу законов, положений и постановлений;</w:t>
      </w:r>
    </w:p>
    <w:p w:rsidR="00661715" w:rsidRDefault="00661715" w:rsidP="00661715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устарелые методические разработки;</w:t>
      </w:r>
    </w:p>
    <w:p w:rsidR="00661715" w:rsidRDefault="00661715" w:rsidP="00661715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издания с указанием срока действия;</w:t>
      </w:r>
    </w:p>
    <w:p w:rsidR="00661715" w:rsidRDefault="00661715" w:rsidP="00661715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массовая литература по военному делу, издания по вопросам гражданской обороны, утратившие свое практическое значение;</w:t>
      </w:r>
    </w:p>
    <w:p w:rsidR="00661715" w:rsidRDefault="00661715" w:rsidP="00661715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научно-популярная литература по философии, психологии, религиоведению, содержащая устаревшие данные и не раскрывающая последних достижений в развитии этих наук;</w:t>
      </w:r>
    </w:p>
    <w:p w:rsidR="00661715" w:rsidRDefault="00661715" w:rsidP="00661715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популярные издания по естественным наукам, медицине, если имеются издания, характеризующие тему или проблему с новых, более современных научных позиций;</w:t>
      </w:r>
    </w:p>
    <w:p w:rsidR="00661715" w:rsidRDefault="00661715" w:rsidP="00661715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издания и материалы по всем отраслям знания, утратившие научную значимость, производственную ценность, общественную актуальность.</w:t>
      </w:r>
    </w:p>
    <w:p w:rsidR="00661715" w:rsidRDefault="00661715" w:rsidP="0066171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сведению,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издания произведений художественной литературы  не списываются как устаревшие по содержанию.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61715" w:rsidRDefault="00661715" w:rsidP="006617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отборе отраслевых изданий на исключение из БФ и определения сроков их хранения необходимо использовать «Минимально необходимые сроки хранения отраслевой литературы» (Прил. №1). Указанные в таблице сроки являются минимально необходимыми для последнего экземпляра изданий. Библиотеки имеют право хранить его, если:</w:t>
      </w:r>
    </w:p>
    <w:p w:rsidR="00661715" w:rsidRDefault="00661715" w:rsidP="00661715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читатели испытывают в издании потребность,</w:t>
      </w:r>
    </w:p>
    <w:p w:rsidR="00661715" w:rsidRDefault="00661715" w:rsidP="00661715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имеются неиспользованные возможности для пропаганды книги,</w:t>
      </w:r>
    </w:p>
    <w:p w:rsidR="00661715" w:rsidRDefault="00661715" w:rsidP="00661715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позволяет емкость книгохранилищ,</w:t>
      </w:r>
    </w:p>
    <w:p w:rsidR="00661715" w:rsidRDefault="00661715" w:rsidP="00661715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обращаемость фонда в целом достаточно высока и т. д. 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Отдельные категории изданий теряют актуальность настолько медленно, что исключать их из фонда даже при значительном уменьшении </w:t>
      </w:r>
      <w:r>
        <w:rPr>
          <w:rFonts w:ascii="Times New Roman" w:hAnsi="Times New Roman"/>
          <w:sz w:val="28"/>
          <w:szCs w:val="28"/>
        </w:rPr>
        <w:lastRenderedPageBreak/>
        <w:t>спроса нецелесообразно т.к. эти документы образуют ядро фонда. К числу подобных изданий относятся:</w:t>
      </w:r>
    </w:p>
    <w:p w:rsidR="00661715" w:rsidRDefault="00661715" w:rsidP="00661715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и малые универсальные энциклопедии, энциклопедические словари, отраслевые энциклопедии;</w:t>
      </w:r>
    </w:p>
    <w:p w:rsidR="00661715" w:rsidRDefault="00661715" w:rsidP="00661715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Языковые словари (кроме </w:t>
      </w:r>
      <w:proofErr w:type="gramStart"/>
      <w:r>
        <w:rPr>
          <w:rFonts w:ascii="Times New Roman" w:hAnsi="Times New Roman"/>
          <w:sz w:val="28"/>
          <w:szCs w:val="28"/>
        </w:rPr>
        <w:t>орфографических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661715" w:rsidRDefault="00661715" w:rsidP="00661715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о выдающихся политических и государственных деятелях, деятелях науки и культуры, военачальниках, спортсменах и т.д., мемуары, кроме произведений явно панегирического толка;</w:t>
      </w:r>
    </w:p>
    <w:p w:rsidR="00661715" w:rsidRDefault="00661715" w:rsidP="00661715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издания по искусству и искусствоведению;</w:t>
      </w:r>
    </w:p>
    <w:p w:rsidR="00661715" w:rsidRDefault="00661715" w:rsidP="00661715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картографические атласы (кроме </w:t>
      </w:r>
      <w:proofErr w:type="gramStart"/>
      <w:r>
        <w:rPr>
          <w:rFonts w:ascii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661715" w:rsidRDefault="00661715" w:rsidP="00661715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по родному краю;</w:t>
      </w:r>
    </w:p>
    <w:p w:rsidR="00661715" w:rsidRDefault="00661715" w:rsidP="00661715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 издания;</w:t>
      </w:r>
    </w:p>
    <w:p w:rsidR="00661715" w:rsidRDefault="00661715" w:rsidP="00661715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по библиотековедению;</w:t>
      </w:r>
    </w:p>
    <w:p w:rsidR="00661715" w:rsidRDefault="00661715" w:rsidP="00661715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кулинарные книги.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Утрата документов:</w:t>
      </w:r>
    </w:p>
    <w:p w:rsidR="00661715" w:rsidRDefault="00661715" w:rsidP="0066171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Исключение документов по причине утрата исключаются документы, пострадавшие в результате вследствие бедствий стихийного и техногенного характера, производится на основании соответствующих документов, подтверждающих утрату (протокол, акт, заключение и т.п.). </w:t>
      </w:r>
    </w:p>
    <w:p w:rsidR="00661715" w:rsidRDefault="00661715" w:rsidP="0066171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Исключение документов по причине хищение правомерно при наличии документов (протокол, акт, заключение), подтверждающих совершение умышленного противоправного изъятия их из фондов с корыстной целью. </w:t>
      </w:r>
    </w:p>
    <w:p w:rsidR="00661715" w:rsidRDefault="00661715" w:rsidP="0066171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Исключение документов по причине утраты читателями – используется в случае невозврата читателями выданных им документов.  Подтверждением, дающим право на исключение документа, является книжный формуляр или запись в читательском формуляре читателя-должника, где есть подпись, подтверждающая факт выдачи документа.</w:t>
      </w:r>
    </w:p>
    <w:p w:rsidR="00661715" w:rsidRDefault="00661715" w:rsidP="0066171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Исключение документов при утрате по неустановленным причинам (недостача)  применяется только по результатам проверок библиотечного фонда. 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отметить,  что в 2017 году произошли изменения в порядке списания библиотечного фонда. Новые требования утверждены Приказом Минкультуры России РФ от 02.02.2017 № 115 «О внесении изменений в порядок учета документов, входящих в состав библиотечного фонда, утвержденный приказом Министерства культуры РФ от 8 октября 2012 г. №1077».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5.14. Порядка N 1077 уточняет, что ежеквартально, при условии изменения состава объекта особо ценного движимого имущества (далее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 xml:space="preserve">ЦДИ), общие сведения о количестве и стоимости документов, списанных из библиотечного фонда с указанием перечня Актов о списании, причин и направлений выбытия документов, представляются учредителю (Прил.№3). Количество выбывающих документов не должно превышать количества вновь поступающих документов в библиотечный фонд. 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документов из БФ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одним из наиболее  регламентируемых направлений учета. Акт о списании исключенных объектов библиотечного фонда – единственный документ в сфере учета библиотечного фонда, форма которого утверждена Приказом Минфина России N 173н (далее - акт о списании) (п. 5.2 Порядка N 1077) и имеет код по ОКУД (0504144). Это означает, что форма обязательна в применении и все реквизиты документа должны строго соблюдаться.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Обратите внимание, что исключение документов по причине устарелости по содержанию, </w:t>
      </w:r>
      <w:proofErr w:type="spellStart"/>
      <w:r>
        <w:rPr>
          <w:rFonts w:ascii="Times New Roman" w:hAnsi="Times New Roman"/>
          <w:sz w:val="28"/>
          <w:szCs w:val="28"/>
        </w:rPr>
        <w:t>непрофильности</w:t>
      </w:r>
      <w:proofErr w:type="spellEnd"/>
      <w:r>
        <w:rPr>
          <w:rFonts w:ascii="Times New Roman" w:hAnsi="Times New Roman"/>
          <w:sz w:val="28"/>
          <w:szCs w:val="28"/>
        </w:rPr>
        <w:t>, ветхости, дефектности не допускается по отношению к единственным экземплярам документов постоянного (бессрочного) хранения. Исключение документов, отнесенных к книжным памятникам, допускается только по причине утраты при условии отражения информации о книжном памятнике в реестре книжных памятников (п. п. 5.1.1, 5.1.2 Порядка N 1077).</w:t>
      </w:r>
    </w:p>
    <w:p w:rsidR="00661715" w:rsidRDefault="00661715" w:rsidP="00661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акте о списании отражаются сведения о количестве и общей стоимости исключенных документов, указывается причина исключения. </w:t>
      </w:r>
    </w:p>
    <w:p w:rsidR="00661715" w:rsidRDefault="00661715" w:rsidP="0066171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выявленные при просмотре фондов издания составляются акты по каждой причине списания отдельно. В акт о списании документов длительного хранения включаются не более 500 экземпляров изданий. В акт о списании документов временного хранения включаются не более 1000 экз.</w:t>
      </w:r>
    </w:p>
    <w:p w:rsidR="00661715" w:rsidRDefault="00661715" w:rsidP="0066171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экземпляры акта печатаются на компьютере или пишутся четко от руки.  Акты на списание и списки к актам готовятся в 2-х экземплярах. К акту о списании прилагается список на исключение объектов библиотечного фонда, который включает следующие сведения: инвентарный номер, краткое библиографическое описание, год издания, дата поступления в библиотеку, цену документа, коэффициент переоценки, цену после переоценки, отдел и общая стоимость исключаемых документов. Для печатных документов временного хранения допускается замена списка книжными формулярами (брошюрный фонд).</w:t>
      </w:r>
    </w:p>
    <w:p w:rsidR="00661715" w:rsidRDefault="00661715" w:rsidP="0066171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Списание документов, состоящих на бухгалтерском учете, производится с применением </w:t>
      </w:r>
      <w:proofErr w:type="spellStart"/>
      <w:r>
        <w:rPr>
          <w:rFonts w:ascii="Times New Roman" w:hAnsi="Times New Roman"/>
          <w:sz w:val="28"/>
          <w:szCs w:val="28"/>
        </w:rPr>
        <w:t>переоценочных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коэффициентов.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Переоценочный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коэффициент применяется в соответствии с годом поступления документа в фонд библиотеки.  К акту о списании по причине утраты и списку прилагаются документы, подтверждающие утрату (пояснительная записка,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</w:p>
    <w:p w:rsidR="00661715" w:rsidRDefault="00661715" w:rsidP="0066171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сведению, Порядок N 1077 предусматривает возможность отказа от обязательного ведения "Тетради учета изданий, принятых от читателей взамен утерянных" и ограничиться актами, которые должны стать первичными учетными документами в бухгалтерском учете. Выбытие утраченного издания оформляется актом о списании, поступление другого издания - актом о приеме. Акт о списании оформляется Комиссией по исключению документов по общим правилам списания, акт о приеме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документов составляется подразделением библиотеки, принимающим издание взамен утраченного, подписывается двумя сторонами: представителем библиотеки и читателем (Прил. №2а; №2б). </w:t>
      </w:r>
    </w:p>
    <w:p w:rsidR="00661715" w:rsidRDefault="00661715" w:rsidP="00661715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«Тетради учета изданий, принятых от читателей взамен утерянных», как таковой допускается, если впоследствии комиссией по приему документов составляется сводный акт о приеме изданий на основе нескольких записей в "Тетради…».  Прием издания взамен утерянного предполагает предоставление читателем замены, равноценной по художественной, научной, культурной значимости и стоимости, адекватной понесенному ущербу.</w:t>
      </w:r>
    </w:p>
    <w:p w:rsidR="00661715" w:rsidRDefault="00661715" w:rsidP="00661715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Утерянное издание списывается по балансовой стоимости с учетом произведенных переоценок библиотечного фонда, а принимаемое издание оценивается по рыночной стоимости, но не ниже стоимости утраченного. По согласованию сторон допускается взамен утраченного издания получение двух и более изданий, совокупная стоимость которых равна или выше стоимости утраченного. Если в качестве замены предлагается издание, значительно превосходящее стоимость утраченного, следует руководствоваться рекомендациями вашего бухгалтера.</w:t>
      </w:r>
    </w:p>
    <w:p w:rsidR="00661715" w:rsidRDefault="00661715" w:rsidP="0066171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Возмещение читателями ущерба допускается также в форме денежной компенсации. Размер ущерба определяется экспертной комиссией по оценке документов, назначенной приказом руководителя. При приеме денег от читателей взамен утерянных книг или других документов составляется приходный ордер и читателю выдается квитанция установленного образца (п. п. 5.4, 5.5 Порядка N 1077).</w:t>
      </w:r>
    </w:p>
    <w:p w:rsidR="00661715" w:rsidRDefault="00661715" w:rsidP="0066171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Акты по всем видам списания изданий из библиотечного фонда подписываются членами комиссии по списанию основных средств и утверждаются руководителем учреждения. После чего в соответствии с п. п. 5.7.1, 5.7.2 Порядка N 1077 проводятся следующие мероприятия:</w:t>
      </w:r>
    </w:p>
    <w:p w:rsidR="00661715" w:rsidRDefault="00661715" w:rsidP="0066171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документы, исключенные по причине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непрофильности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передаются по актам в обменный фонд в целях дальнейшей передачи на безвозмездной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основе библиотекам или в целях реализации физическим и юридическим лицам. Невостребованные, в течение шести месяцев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 даты списания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документы, могут направляться в пункт вторичного сырья;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документы, исключенные по причине ветхости, дефектности, устарелости по содержанию, направляются в пункты вторичного сырья;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исключенные из фондов микроформы на галогенидосеребряной пленке подлежат сдаче как серебросодержащие отходы согласно  законодательству РФ.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отсутствии пунктов вторсырья или в случаях, когда сдача документов на переработку экономически нецелесообразна, библиотеки уничтожают исключенные документы на месте в присутствии лиц, которые составляют акт об уничтожении списанных объектов библиотечного фонда (п. 5.7.3 Порядка N 1077) (Прил.№4). Документ, подтверждающий факт сдачи списанных объектов в пункт вторичного сырья, или  акт об уничтожении списанных объектов библиотечного фонда прилагается к акту о списании. При этом номер и дата такого документа  фиксируются в акте.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После завершения мероприятий, предусмотренных актом о списании, один экземпляр акта со списком и документом, подтверждающим выбытие, передается в бухгалтерию, второй экземпляр остается в подразделении, осуществляющем учет библиотечного фонда, для отражения акта в регистрах суммарного (ч.2) и индивидуального учета.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Кроме того, исключаемые из фонда библиотеки документы (книги, журналы, другие виды документов) должны быть соответствующим образом оформлены: необходимо специальным штемпелем погасить штампы библиотеки.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 касается электронных документов, то сетевые локальные документы удаляются из электронной библиотеки на основании акта о списании с указанием причины исключения. Наименование, номер и дата акта вводятся в базу данных в качестве метаинформации к соответствующему документу.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 основании введенных сведений формируется перечень актов о списании (реестр суммарного учета выбытия 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</w:p>
    <w:p w:rsidR="00661715" w:rsidRDefault="00661715" w:rsidP="0066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Выбытие электронных сетевых удаленных документов не 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 на новый срок.</w:t>
      </w:r>
    </w:p>
    <w:p w:rsidR="00661715" w:rsidRDefault="00661715" w:rsidP="006617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десяти лет хранятся Акты о списании исключенных документы. В месячный срок после утверждения актов производится исключение сведений из каталогов.</w:t>
      </w:r>
    </w:p>
    <w:p w:rsidR="00661715" w:rsidRDefault="00661715" w:rsidP="006617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AE4" w:rsidRDefault="00770AE4" w:rsidP="00770AE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Заведуюший</w:t>
      </w:r>
      <w:proofErr w:type="spellEnd"/>
      <w:r>
        <w:rPr>
          <w:rFonts w:ascii="Times New Roman" w:hAnsi="Times New Roman"/>
          <w:sz w:val="28"/>
          <w:szCs w:val="28"/>
        </w:rPr>
        <w:t xml:space="preserve">  отделом хранения, </w:t>
      </w:r>
    </w:p>
    <w:p w:rsidR="00770AE4" w:rsidRDefault="00770AE4" w:rsidP="00770A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консервации и реставрации фондов                                Г.В. </w:t>
      </w:r>
      <w:proofErr w:type="spellStart"/>
      <w:r>
        <w:rPr>
          <w:rFonts w:ascii="Times New Roman" w:hAnsi="Times New Roman"/>
          <w:sz w:val="28"/>
          <w:szCs w:val="28"/>
        </w:rPr>
        <w:t>Балюк</w:t>
      </w:r>
      <w:proofErr w:type="spellEnd"/>
    </w:p>
    <w:p w:rsidR="00661715" w:rsidRDefault="00661715" w:rsidP="00770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715" w:rsidRDefault="00661715" w:rsidP="006617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715" w:rsidRDefault="00661715" w:rsidP="006617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715" w:rsidRDefault="00661715" w:rsidP="006617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715" w:rsidRDefault="00661715" w:rsidP="006617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715" w:rsidRDefault="00661715" w:rsidP="006617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715" w:rsidRDefault="00661715" w:rsidP="006617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715" w:rsidRDefault="00661715" w:rsidP="006617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715" w:rsidRDefault="00661715" w:rsidP="006617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715" w:rsidRDefault="00661715" w:rsidP="006617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715" w:rsidRDefault="00661715" w:rsidP="006617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715" w:rsidRDefault="00661715" w:rsidP="006617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715" w:rsidRDefault="00661715" w:rsidP="006617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AE4" w:rsidRDefault="00770AE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61715" w:rsidRDefault="00661715" w:rsidP="006617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661715" w:rsidRDefault="00661715" w:rsidP="006617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715" w:rsidRDefault="00661715" w:rsidP="006617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Табл.1</w:t>
      </w:r>
    </w:p>
    <w:p w:rsidR="00661715" w:rsidRDefault="00661715" w:rsidP="006617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 необходимые сроки хранения отраслевой литературы (лет)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81"/>
        <w:gridCol w:w="970"/>
        <w:gridCol w:w="789"/>
        <w:gridCol w:w="841"/>
        <w:gridCol w:w="789"/>
        <w:gridCol w:w="815"/>
      </w:tblGrid>
      <w:tr w:rsidR="00661715" w:rsidRPr="009F4B10" w:rsidTr="009F4B10">
        <w:tc>
          <w:tcPr>
            <w:tcW w:w="2761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Отрасль знаний</w:t>
            </w:r>
          </w:p>
        </w:tc>
        <w:tc>
          <w:tcPr>
            <w:tcW w:w="2239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Целевое направление изданий</w:t>
            </w:r>
          </w:p>
        </w:tc>
      </w:tr>
      <w:tr w:rsidR="00661715" w:rsidRPr="009F4B10" w:rsidTr="009F4B10">
        <w:tc>
          <w:tcPr>
            <w:tcW w:w="2761" w:type="pct"/>
            <w:vMerge/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</w:t>
            </w:r>
            <w:proofErr w:type="spellStart"/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</w:t>
            </w:r>
            <w:proofErr w:type="spellEnd"/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Офиц.</w:t>
            </w:r>
          </w:p>
        </w:tc>
        <w:tc>
          <w:tcPr>
            <w:tcW w:w="4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Произв.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</w:t>
            </w:r>
            <w:proofErr w:type="spellEnd"/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61715" w:rsidRPr="009F4B10" w:rsidTr="009F4B10"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технические науки в целом (общетехнические дисциплины и др.) Горное дело. Транспорт. Пищевые производства. Технологии древесины. Производства легкой промышленности. Полиграфическое производство. Фотокинотехника.</w:t>
            </w:r>
          </w:p>
        </w:tc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4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8-15</w:t>
            </w:r>
          </w:p>
        </w:tc>
      </w:tr>
      <w:tr w:rsidR="00661715" w:rsidRPr="009F4B10" w:rsidTr="009F4B10"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Политика. Политические науки. История. Историчес</w:t>
            </w:r>
            <w:bookmarkStart w:id="3" w:name="_GoBack"/>
            <w:bookmarkEnd w:id="3"/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 науки. Марксизм-ленинизм. Языкознание.</w:t>
            </w:r>
          </w:p>
        </w:tc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4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8-15</w:t>
            </w:r>
          </w:p>
        </w:tc>
      </w:tr>
      <w:tr w:rsidR="00661715" w:rsidRPr="009F4B10" w:rsidTr="009F4B10"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технология. Химическое производство. Общая технология металлов. Металловедение. Металлургия. Радиоэлектроника. Строительство.</w:t>
            </w:r>
          </w:p>
        </w:tc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4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9-17</w:t>
            </w:r>
          </w:p>
        </w:tc>
      </w:tr>
      <w:tr w:rsidR="00661715" w:rsidRPr="009F4B10" w:rsidTr="009F4B10"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Экономика. Экономические науки. Культура. Наука. Просвещение. Образование. Педагогические науки.</w:t>
            </w:r>
          </w:p>
        </w:tc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4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10-18</w:t>
            </w:r>
          </w:p>
        </w:tc>
      </w:tr>
      <w:tr w:rsidR="00661715" w:rsidRPr="009F4B10" w:rsidTr="009F4B10"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и лесное хозяйство. Физическая культура и спорт.</w:t>
            </w:r>
          </w:p>
        </w:tc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4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10-19</w:t>
            </w:r>
          </w:p>
        </w:tc>
      </w:tr>
      <w:tr w:rsidR="00661715" w:rsidRPr="009F4B10" w:rsidTr="009F4B10"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Философские науки, логика. Психология. Атеизм. Религия. Искусство. Литературоведение. Литература универсального содержания.</w:t>
            </w:r>
          </w:p>
        </w:tc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4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10-19</w:t>
            </w:r>
          </w:p>
        </w:tc>
      </w:tr>
      <w:tr w:rsidR="00661715" w:rsidRPr="009F4B10" w:rsidTr="009F4B10"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Науки о Земле. Биологические науки. Химические науки.</w:t>
            </w:r>
          </w:p>
        </w:tc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4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10-19</w:t>
            </w:r>
          </w:p>
        </w:tc>
      </w:tr>
      <w:tr w:rsidR="00661715" w:rsidRPr="009F4B10" w:rsidTr="009F4B10"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Энергетика. Общее машиностроение. Машиноведение. Обработка металлов. Приборостроение.</w:t>
            </w:r>
          </w:p>
        </w:tc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4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11-20</w:t>
            </w:r>
          </w:p>
        </w:tc>
      </w:tr>
      <w:tr w:rsidR="00661715" w:rsidRPr="009F4B10" w:rsidTr="009F4B10"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Естественные науки в целом, экология. Физико-математические науки. Здравоохранение. Медицинские науки.</w:t>
            </w:r>
          </w:p>
        </w:tc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7-13</w:t>
            </w:r>
          </w:p>
        </w:tc>
        <w:tc>
          <w:tcPr>
            <w:tcW w:w="4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13024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13-24</w:t>
            </w:r>
          </w:p>
        </w:tc>
      </w:tr>
      <w:tr w:rsidR="00661715" w:rsidRPr="009F4B10" w:rsidTr="009F4B10"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замены</w:t>
            </w:r>
          </w:p>
        </w:tc>
        <w:tc>
          <w:tcPr>
            <w:tcW w:w="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4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715" w:rsidRPr="009F4B10" w:rsidRDefault="00661715" w:rsidP="009F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</w:t>
            </w:r>
            <w:proofErr w:type="spellEnd"/>
            <w:r w:rsidRPr="009F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61715" w:rsidRDefault="00661715" w:rsidP="00661715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661715" w:rsidRDefault="00661715" w:rsidP="006617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61715" w:rsidRDefault="00661715" w:rsidP="006617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61715" w:rsidRDefault="00661715" w:rsidP="006617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61715" w:rsidRDefault="00661715" w:rsidP="006617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61715" w:rsidRDefault="00661715" w:rsidP="006617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61715" w:rsidRDefault="00661715" w:rsidP="006617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61715" w:rsidRDefault="00661715" w:rsidP="006617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61715" w:rsidRDefault="00661715" w:rsidP="006617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0AE4" w:rsidRDefault="00770AE4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661715" w:rsidRDefault="00661715" w:rsidP="006617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 №2а</w:t>
      </w:r>
    </w:p>
    <w:p w:rsidR="00661715" w:rsidRDefault="00661715" w:rsidP="006617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20 ___ г.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 №___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приеме документов взамен утерянных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«___» _________ 20___ г.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______________________________________________________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__________________________________________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акт составлен о том, что представитель Библиотеки _________________________________________________________________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(должность, фамилия, имя, отчество)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 от читателя _______________________________________________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отчество)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 __________________________________________________________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(рег. номер, автор, название выходные сведения)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взамен утерянного издания___________________________________________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(автор, название выходные сведения)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Утерянное издание списано Актом о списании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 №___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балансовой стоимости _______ руб.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Причиненный имуществу ущерб оценивается по рыночной стоимости ___________________________________________________________ руб.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Предложенное читателем издание является равноценным утерянному и принимается по рыночной стоимости ________ руб.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Передал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П</w:t>
      </w:r>
      <w:proofErr w:type="gramEnd"/>
      <w:r>
        <w:rPr>
          <w:rFonts w:ascii="Times New Roman" w:hAnsi="Times New Roman"/>
          <w:sz w:val="28"/>
          <w:szCs w:val="28"/>
        </w:rPr>
        <w:t>ринял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______________________ _______ 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(расшифровка подписи) (подпись) (расшифровка подписи)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«____»___________20___г. «____»__________20___г.</w:t>
      </w:r>
    </w:p>
    <w:p w:rsidR="00661715" w:rsidRDefault="00661715" w:rsidP="00661715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15" w:rsidRDefault="00661715" w:rsidP="00661715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</w:p>
    <w:p w:rsidR="00770AE4" w:rsidRDefault="00770AE4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 №2б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20 ___ г.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 №___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приеме документов взамен утерянных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«___» _________ 20___ г.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Учреждение________________________________________________________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приему документов в составе____________________________________________________________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(должность, фамилия, инициалы)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назначенная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(распоряжением) от «____» _________20__г. №___ произвела прием изданий от читателей взамен утерянных.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1333"/>
        <w:gridCol w:w="1563"/>
        <w:gridCol w:w="1706"/>
        <w:gridCol w:w="2491"/>
        <w:gridCol w:w="1617"/>
      </w:tblGrid>
      <w:tr w:rsidR="00661715" w:rsidTr="00661715">
        <w:tc>
          <w:tcPr>
            <w:tcW w:w="5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Утерянные издания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Принятые издания</w:t>
            </w:r>
          </w:p>
        </w:tc>
      </w:tr>
      <w:tr w:rsidR="00661715" w:rsidTr="0066171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инв.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автор, заглавие,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сведения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автор, заглавие,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сведения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61715" w:rsidTr="0066171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715" w:rsidTr="0066171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715" w:rsidTr="0066171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715" w:rsidTr="0066171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Утерянные издания списаны по балансовой стоимости на ______ руб.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Причиненный имуществу ущерб оценивается по рыночной стоимости на _____руб.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Предложенные читателями издания являются равноценным утерянным и принимаются по рыночной стоимости на </w:t>
      </w:r>
      <w:r>
        <w:rPr>
          <w:rFonts w:ascii="Times New Roman" w:hAnsi="Times New Roman"/>
          <w:i/>
          <w:iCs/>
          <w:sz w:val="28"/>
          <w:szCs w:val="28"/>
        </w:rPr>
        <w:t xml:space="preserve">________ </w:t>
      </w:r>
      <w:r>
        <w:rPr>
          <w:rFonts w:ascii="Times New Roman" w:hAnsi="Times New Roman"/>
          <w:sz w:val="28"/>
          <w:szCs w:val="28"/>
        </w:rPr>
        <w:t>руб.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______________ 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(подпись) (расшифровка подписи)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комиссии:________________ 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(подпись) (расшифровка подписи)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(подпись) (расшифровка подписи)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__________________</w:t>
      </w:r>
    </w:p>
    <w:p w:rsidR="00661715" w:rsidRDefault="00661715" w:rsidP="00661715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(подпись) (расшифровка подписи)</w:t>
      </w:r>
    </w:p>
    <w:p w:rsidR="00770AE4" w:rsidRDefault="00770AE4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 №3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Примерная форма представления учредителю сведений о состоянии библиотечного фонда как объекта особо ценного движимого имущества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______ квартал 20____г.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715" w:rsidRDefault="00661715" w:rsidP="00661715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Учреждение________________________________________________________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00"/>
        <w:gridCol w:w="1898"/>
        <w:gridCol w:w="1860"/>
        <w:gridCol w:w="1814"/>
        <w:gridCol w:w="1899"/>
      </w:tblGrid>
      <w:tr w:rsidR="00661715" w:rsidTr="006617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  <w:p w:rsidR="00661715" w:rsidRDefault="00661715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(состояло) на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_____20___г.</w:t>
            </w:r>
          </w:p>
          <w:p w:rsidR="00661715" w:rsidRDefault="00661715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за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661715" w:rsidRDefault="00661715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 за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661715" w:rsidRDefault="00661715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(состоит) на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______20__г.</w:t>
            </w:r>
          </w:p>
          <w:p w:rsidR="00661715" w:rsidRDefault="00661715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715" w:rsidTr="006617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15285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15317</w:t>
            </w:r>
          </w:p>
        </w:tc>
      </w:tr>
      <w:tr w:rsidR="00661715" w:rsidTr="0066171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715" w:rsidRDefault="00661715" w:rsidP="00661715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Актов о списании исключенных объектов библиотечного фонда, отнесенного к категории особо ценного движимого имущества.</w:t>
      </w:r>
    </w:p>
    <w:p w:rsidR="00661715" w:rsidRDefault="00661715" w:rsidP="00661715">
      <w:pPr>
        <w:rPr>
          <w:rFonts w:ascii="Times New Roman" w:hAnsi="Times New Roman"/>
          <w:sz w:val="28"/>
          <w:szCs w:val="28"/>
        </w:rPr>
      </w:pPr>
    </w:p>
    <w:p w:rsidR="00661715" w:rsidRDefault="00661715" w:rsidP="00661715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6"/>
        <w:gridCol w:w="1819"/>
        <w:gridCol w:w="1024"/>
        <w:gridCol w:w="1534"/>
        <w:gridCol w:w="2236"/>
        <w:gridCol w:w="1952"/>
      </w:tblGrid>
      <w:tr w:rsidR="00661715" w:rsidTr="00661715">
        <w:trPr>
          <w:trHeight w:val="66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 дата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утверждения акта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экз.</w:t>
            </w:r>
          </w:p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исключения</w:t>
            </w:r>
          </w:p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выбытия</w:t>
            </w:r>
          </w:p>
        </w:tc>
      </w:tr>
      <w:tr w:rsidR="00661715" w:rsidTr="006617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Акт№3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от29.01.2014</w:t>
            </w:r>
          </w:p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ххххх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утрата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715" w:rsidTr="006617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Акт№17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от06.02.2014</w:t>
            </w:r>
          </w:p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ххххх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Непрофильность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дублетность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в обменный фонд</w:t>
            </w:r>
          </w:p>
        </w:tc>
      </w:tr>
      <w:tr w:rsidR="00661715" w:rsidTr="006617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«26 от 13.05.2016г.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хххх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Непрофильность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Безвозмездная передача</w:t>
            </w:r>
          </w:p>
        </w:tc>
      </w:tr>
      <w:tr w:rsidR="00661715" w:rsidTr="006617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715" w:rsidTr="006617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715" w:rsidTr="006617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715" w:rsidTr="00661715"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ххххх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715" w:rsidRDefault="00661715" w:rsidP="00661715">
      <w:pPr>
        <w:rPr>
          <w:rFonts w:ascii="Times New Roman" w:hAnsi="Times New Roman"/>
          <w:sz w:val="28"/>
          <w:szCs w:val="28"/>
        </w:rPr>
      </w:pP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____________ ________________________</w:t>
      </w:r>
    </w:p>
    <w:p w:rsidR="00661715" w:rsidRDefault="00661715" w:rsidP="00661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(подпись) (расшифровка подписи)</w:t>
      </w:r>
    </w:p>
    <w:p w:rsidR="00770AE4" w:rsidRDefault="00770AE4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 №4</w:t>
      </w:r>
    </w:p>
    <w:p w:rsidR="00661715" w:rsidRDefault="00661715" w:rsidP="006617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20 ___ г.</w:t>
      </w:r>
    </w:p>
    <w:p w:rsidR="00661715" w:rsidRDefault="00661715" w:rsidP="006617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 №______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уничтожении списанных объектов библиотечного фонда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«___»_________ 20___ г.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Учреждение________________________________________________________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Составе_____________________________________________________________________________________________________________________________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(должности, фамилии, инициалы)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назначенная приказом (распоряжением) от «___»_________20__г. произвела уничтожение списанных объектов библиотечного фонда в количестве ________________________________________ экз. (акт о списании от «___»</w:t>
      </w:r>
      <w:proofErr w:type="gramEnd"/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 20__г.)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661715" w:rsidTr="006617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Автор, название, выходные сведения изданий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715" w:rsidTr="006617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Дорофеев. Валютное право: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учеб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особие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 Москва,2000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ветхость</w:t>
            </w:r>
          </w:p>
        </w:tc>
      </w:tr>
      <w:tr w:rsidR="00661715" w:rsidTr="006617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Краткий экономический словарь. Москва,2001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дефектность</w:t>
            </w:r>
          </w:p>
        </w:tc>
      </w:tr>
      <w:tr w:rsidR="00661715" w:rsidTr="006617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Календарь знаменательный дат 1998г. Москва 1996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Устаревший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содержанию</w:t>
            </w:r>
          </w:p>
        </w:tc>
      </w:tr>
      <w:tr w:rsidR="00661715" w:rsidTr="006617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715" w:rsidTr="006617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715" w:rsidTr="006617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15" w:rsidRDefault="00661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________________ 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(подпись)        (расшифровка подписи)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           ________________ 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(подпись)       (расшифровка подписи)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________________ __________________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(подпись)      (расшифровка подписи)</w:t>
      </w:r>
    </w:p>
    <w:p w:rsidR="00661715" w:rsidRDefault="00661715" w:rsidP="0066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________________ __________________</w:t>
      </w:r>
    </w:p>
    <w:p w:rsidR="00661715" w:rsidRDefault="00661715" w:rsidP="006617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(подпись)      (расшифровка подписи)</w:t>
      </w:r>
    </w:p>
    <w:p w:rsidR="00661715" w:rsidRDefault="00661715" w:rsidP="00661715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BB65D1" w:rsidRDefault="00BB65D1" w:rsidP="00BB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B65D1" w:rsidSect="00206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86" w:rsidRDefault="00612A86" w:rsidP="00087689">
      <w:pPr>
        <w:spacing w:after="0" w:line="240" w:lineRule="auto"/>
      </w:pPr>
      <w:r>
        <w:separator/>
      </w:r>
    </w:p>
  </w:endnote>
  <w:endnote w:type="continuationSeparator" w:id="0">
    <w:p w:rsidR="00612A86" w:rsidRDefault="00612A86" w:rsidP="000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95" w:rsidRDefault="005529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95" w:rsidRDefault="005529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95" w:rsidRDefault="00552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86" w:rsidRDefault="00612A86" w:rsidP="00087689">
      <w:pPr>
        <w:spacing w:after="0" w:line="240" w:lineRule="auto"/>
      </w:pPr>
      <w:r>
        <w:separator/>
      </w:r>
    </w:p>
  </w:footnote>
  <w:footnote w:type="continuationSeparator" w:id="0">
    <w:p w:rsidR="00612A86" w:rsidRDefault="00612A86" w:rsidP="0008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95" w:rsidRDefault="005529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087689" w:rsidTr="005812BE">
      <w:tc>
        <w:tcPr>
          <w:tcW w:w="828" w:type="pct"/>
        </w:tcPr>
        <w:p w:rsidR="00087689" w:rsidRDefault="001316F9" w:rsidP="001316F9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BE58F9F" wp14:editId="10C39B95">
                <wp:extent cx="590598" cy="3048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ОНБ логотип.png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319" cy="308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87689" w:rsidRPr="00E81F2B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87689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 w:rsidR="00552995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087689" w:rsidRPr="00087689" w:rsidRDefault="00087689">
    <w:pPr>
      <w:pStyle w:val="a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95" w:rsidRDefault="005529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801F90"/>
    <w:lvl w:ilvl="0">
      <w:numFmt w:val="bullet"/>
      <w:lvlText w:val="*"/>
      <w:lvlJc w:val="left"/>
      <w:pPr>
        <w:ind w:left="0" w:firstLine="851"/>
      </w:pPr>
    </w:lvl>
  </w:abstractNum>
  <w:abstractNum w:abstractNumId="1">
    <w:nsid w:val="007A78EE"/>
    <w:multiLevelType w:val="hybridMultilevel"/>
    <w:tmpl w:val="4B78ADC6"/>
    <w:lvl w:ilvl="0" w:tplc="771E1D1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40EE0"/>
    <w:multiLevelType w:val="hybridMultilevel"/>
    <w:tmpl w:val="DAAC9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987448"/>
    <w:multiLevelType w:val="hybridMultilevel"/>
    <w:tmpl w:val="84484D0A"/>
    <w:lvl w:ilvl="0" w:tplc="411AD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BA4C38"/>
    <w:multiLevelType w:val="hybridMultilevel"/>
    <w:tmpl w:val="8034D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763D"/>
    <w:multiLevelType w:val="multilevel"/>
    <w:tmpl w:val="371A42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317353AC"/>
    <w:multiLevelType w:val="hybridMultilevel"/>
    <w:tmpl w:val="544A2624"/>
    <w:lvl w:ilvl="0" w:tplc="411AD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11D88"/>
    <w:multiLevelType w:val="hybridMultilevel"/>
    <w:tmpl w:val="2B1E7222"/>
    <w:lvl w:ilvl="0" w:tplc="411AD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140"/>
        <w:lvlJc w:val="left"/>
        <w:pPr>
          <w:ind w:left="0" w:firstLine="851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851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851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♦"/>
        <w:legacy w:legacy="1" w:legacySpace="0" w:legacyIndent="254"/>
        <w:lvlJc w:val="left"/>
        <w:pPr>
          <w:ind w:left="0" w:firstLine="851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851"/>
        </w:pPr>
        <w:rPr>
          <w:rFonts w:ascii="Arial" w:hAnsi="Arial" w:cs="Arial" w:hint="default"/>
        </w:rPr>
      </w:lvl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851"/>
        </w:pPr>
        <w:rPr>
          <w:rFonts w:ascii="Arial" w:hAnsi="Arial" w:cs="Arial" w:hint="default"/>
        </w:rPr>
      </w:lvl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B4E"/>
    <w:rsid w:val="00066864"/>
    <w:rsid w:val="00087689"/>
    <w:rsid w:val="001316F9"/>
    <w:rsid w:val="00170ABA"/>
    <w:rsid w:val="001F7569"/>
    <w:rsid w:val="00206DB8"/>
    <w:rsid w:val="002A5AC4"/>
    <w:rsid w:val="002B6482"/>
    <w:rsid w:val="00303041"/>
    <w:rsid w:val="00320AD4"/>
    <w:rsid w:val="00371E71"/>
    <w:rsid w:val="003815CE"/>
    <w:rsid w:val="003A0507"/>
    <w:rsid w:val="003C350E"/>
    <w:rsid w:val="003E3DD2"/>
    <w:rsid w:val="00407F0B"/>
    <w:rsid w:val="00552995"/>
    <w:rsid w:val="00576003"/>
    <w:rsid w:val="00612A86"/>
    <w:rsid w:val="00632348"/>
    <w:rsid w:val="00642C6D"/>
    <w:rsid w:val="00661715"/>
    <w:rsid w:val="00697932"/>
    <w:rsid w:val="00763AEE"/>
    <w:rsid w:val="0076512F"/>
    <w:rsid w:val="00770AE4"/>
    <w:rsid w:val="007E7B4E"/>
    <w:rsid w:val="007F55FA"/>
    <w:rsid w:val="00825D87"/>
    <w:rsid w:val="00860AEE"/>
    <w:rsid w:val="00997C4A"/>
    <w:rsid w:val="009F4B10"/>
    <w:rsid w:val="00A32CEE"/>
    <w:rsid w:val="00A72A88"/>
    <w:rsid w:val="00B04606"/>
    <w:rsid w:val="00BB65D1"/>
    <w:rsid w:val="00BD147A"/>
    <w:rsid w:val="00C55E6C"/>
    <w:rsid w:val="00C74E2E"/>
    <w:rsid w:val="00D56468"/>
    <w:rsid w:val="00E1711B"/>
    <w:rsid w:val="00EB210E"/>
    <w:rsid w:val="00EE4280"/>
    <w:rsid w:val="00F12F7E"/>
    <w:rsid w:val="00F47CE1"/>
    <w:rsid w:val="00F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4E"/>
    <w:pPr>
      <w:ind w:left="720"/>
      <w:contextualSpacing/>
    </w:pPr>
  </w:style>
  <w:style w:type="paragraph" w:customStyle="1" w:styleId="Default">
    <w:name w:val="Default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B21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210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2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EB210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BB65D1"/>
    <w:pPr>
      <w:spacing w:after="0" w:line="240" w:lineRule="auto"/>
      <w:ind w:firstLine="397"/>
      <w:jc w:val="both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BB65D1"/>
    <w:pPr>
      <w:spacing w:after="0" w:line="240" w:lineRule="auto"/>
      <w:ind w:firstLine="397"/>
      <w:jc w:val="both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B4E"/>
    <w:pPr>
      <w:ind w:left="720"/>
      <w:contextualSpacing/>
    </w:pPr>
  </w:style>
  <w:style w:type="paragraph" w:customStyle="1" w:styleId="Default">
    <w:name w:val="Default"/>
    <w:uiPriority w:val="99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22</cp:revision>
  <dcterms:created xsi:type="dcterms:W3CDTF">2014-03-27T02:15:00Z</dcterms:created>
  <dcterms:modified xsi:type="dcterms:W3CDTF">2017-10-23T02:49:00Z</dcterms:modified>
</cp:coreProperties>
</file>