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67E8A" w:rsidRPr="00567E8A" w:rsidTr="00C4568E">
        <w:tc>
          <w:tcPr>
            <w:tcW w:w="828" w:type="pct"/>
          </w:tcPr>
          <w:p w:rsidR="00567E8A" w:rsidRPr="00567E8A" w:rsidRDefault="00567E8A" w:rsidP="00567E8A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567E8A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68B40052" wp14:editId="5C7D3D07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67E8A" w:rsidRPr="00567E8A" w:rsidRDefault="00567E8A" w:rsidP="00567E8A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567E8A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567E8A" w:rsidRPr="00567E8A" w:rsidRDefault="00567E8A" w:rsidP="00567E8A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567E8A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67E8A" w:rsidRPr="00567E8A" w:rsidRDefault="00567E8A" w:rsidP="00C855A5">
      <w:pPr>
        <w:pStyle w:val="a3"/>
        <w:ind w:firstLine="709"/>
        <w:jc w:val="center"/>
      </w:pPr>
    </w:p>
    <w:p w:rsidR="00C855A5" w:rsidRDefault="00C855A5" w:rsidP="00C855A5">
      <w:pPr>
        <w:pStyle w:val="a3"/>
        <w:ind w:firstLine="709"/>
        <w:jc w:val="center"/>
        <w:rPr>
          <w:b/>
          <w:sz w:val="28"/>
        </w:rPr>
      </w:pPr>
      <w:r w:rsidRPr="00C855A5">
        <w:rPr>
          <w:b/>
          <w:sz w:val="28"/>
        </w:rPr>
        <w:t>Ландшафтный дизайн. Цветоводство</w:t>
      </w:r>
    </w:p>
    <w:p w:rsidR="00412678" w:rsidRDefault="00412678" w:rsidP="00412678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12678">
        <w:rPr>
          <w:rFonts w:eastAsiaTheme="minorHAnsi"/>
          <w:b/>
          <w:color w:val="auto"/>
          <w:sz w:val="28"/>
          <w:szCs w:val="28"/>
          <w:lang w:eastAsia="en-US"/>
        </w:rPr>
        <w:t>Атрощенко, Г. П.</w:t>
      </w:r>
      <w:r w:rsidRPr="00412678">
        <w:rPr>
          <w:rFonts w:eastAsiaTheme="minorHAnsi"/>
          <w:color w:val="auto"/>
          <w:sz w:val="28"/>
          <w:szCs w:val="28"/>
          <w:lang w:eastAsia="en-US"/>
        </w:rPr>
        <w:t xml:space="preserve"> Оценка зимостойкости и декоративных качеств различных форм туи западной для ландшафтного дизайна / Г. П. Атрощенко, С. Ф. Логинова // Известия Санкт-</w:t>
      </w:r>
      <w:r w:rsidR="00475125" w:rsidRPr="00412678">
        <w:rPr>
          <w:rFonts w:eastAsiaTheme="minorHAnsi"/>
          <w:color w:val="auto"/>
          <w:sz w:val="28"/>
          <w:szCs w:val="28"/>
          <w:lang w:eastAsia="en-US"/>
        </w:rPr>
        <w:t>П</w:t>
      </w:r>
      <w:r w:rsidRPr="00412678">
        <w:rPr>
          <w:rFonts w:eastAsiaTheme="minorHAnsi"/>
          <w:color w:val="auto"/>
          <w:sz w:val="28"/>
          <w:szCs w:val="28"/>
          <w:lang w:eastAsia="en-US"/>
        </w:rPr>
        <w:t xml:space="preserve">етербургского гос. </w:t>
      </w:r>
      <w:proofErr w:type="spellStart"/>
      <w:r w:rsidRPr="00412678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412678">
        <w:rPr>
          <w:rFonts w:eastAsiaTheme="minorHAnsi"/>
          <w:color w:val="auto"/>
          <w:sz w:val="28"/>
          <w:szCs w:val="28"/>
          <w:lang w:eastAsia="en-US"/>
        </w:rPr>
        <w:t>. ун-та. – 2017. – № 3 (48). – С. 19-24.</w:t>
      </w:r>
    </w:p>
    <w:p w:rsidR="00412678" w:rsidRPr="00567E8A" w:rsidRDefault="00412678" w:rsidP="00412678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2F0A9A" w:rsidRDefault="002F0A9A" w:rsidP="002F0A9A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0A9A">
        <w:rPr>
          <w:rFonts w:eastAsiaTheme="minorHAnsi"/>
          <w:b/>
          <w:color w:val="auto"/>
          <w:sz w:val="28"/>
          <w:szCs w:val="28"/>
          <w:lang w:eastAsia="en-US"/>
        </w:rPr>
        <w:t>Боровик, Р. А.</w:t>
      </w:r>
      <w:r w:rsidRPr="002F0A9A">
        <w:rPr>
          <w:rFonts w:eastAsiaTheme="minorHAnsi"/>
          <w:color w:val="auto"/>
          <w:sz w:val="28"/>
          <w:szCs w:val="28"/>
          <w:lang w:eastAsia="en-US"/>
        </w:rPr>
        <w:t xml:space="preserve"> Использование </w:t>
      </w:r>
      <w:proofErr w:type="spellStart"/>
      <w:r w:rsidRPr="002F0A9A">
        <w:rPr>
          <w:rFonts w:eastAsiaTheme="minorHAnsi"/>
          <w:color w:val="auto"/>
          <w:sz w:val="28"/>
          <w:szCs w:val="28"/>
          <w:lang w:eastAsia="en-US"/>
        </w:rPr>
        <w:t>фолиарных</w:t>
      </w:r>
      <w:proofErr w:type="spellEnd"/>
      <w:r w:rsidRPr="002F0A9A">
        <w:rPr>
          <w:rFonts w:eastAsiaTheme="minorHAnsi"/>
          <w:color w:val="auto"/>
          <w:sz w:val="28"/>
          <w:szCs w:val="28"/>
          <w:lang w:eastAsia="en-US"/>
        </w:rPr>
        <w:t xml:space="preserve"> подкормок при выращивании декоративных деревьев и кустарников / Р. А. Боровик, Т. Н. </w:t>
      </w:r>
      <w:proofErr w:type="spellStart"/>
      <w:r w:rsidRPr="002F0A9A">
        <w:rPr>
          <w:rFonts w:eastAsiaTheme="minorHAnsi"/>
          <w:color w:val="auto"/>
          <w:sz w:val="28"/>
          <w:szCs w:val="28"/>
          <w:lang w:eastAsia="en-US"/>
        </w:rPr>
        <w:t>Болышева</w:t>
      </w:r>
      <w:proofErr w:type="spellEnd"/>
      <w:r w:rsidRPr="002F0A9A">
        <w:rPr>
          <w:rFonts w:eastAsiaTheme="minorHAnsi"/>
          <w:color w:val="auto"/>
          <w:sz w:val="28"/>
          <w:szCs w:val="28"/>
          <w:lang w:eastAsia="en-US"/>
        </w:rPr>
        <w:t xml:space="preserve"> // Проблемы агрохимии и экологии. – 2017. – № 3. – С. 45-55.</w:t>
      </w:r>
    </w:p>
    <w:p w:rsidR="002F0A9A" w:rsidRPr="002F0A9A" w:rsidRDefault="002F0A9A" w:rsidP="002F0A9A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C855A5" w:rsidRPr="00C855A5" w:rsidRDefault="00C855A5" w:rsidP="00C855A5">
      <w:pPr>
        <w:pStyle w:val="a3"/>
        <w:ind w:firstLine="709"/>
        <w:jc w:val="both"/>
        <w:rPr>
          <w:sz w:val="28"/>
        </w:rPr>
      </w:pPr>
      <w:r w:rsidRPr="00C855A5">
        <w:rPr>
          <w:b/>
          <w:sz w:val="28"/>
        </w:rPr>
        <w:t>Ермаченко, Я. С.</w:t>
      </w:r>
      <w:r>
        <w:rPr>
          <w:sz w:val="28"/>
        </w:rPr>
        <w:t xml:space="preserve"> </w:t>
      </w:r>
      <w:r w:rsidRPr="00C855A5">
        <w:rPr>
          <w:sz w:val="28"/>
        </w:rPr>
        <w:t xml:space="preserve">Интродукция парковых видов роз в условиях </w:t>
      </w:r>
      <w:proofErr w:type="spellStart"/>
      <w:r w:rsidRPr="00C855A5">
        <w:rPr>
          <w:sz w:val="28"/>
        </w:rPr>
        <w:t>остепненной</w:t>
      </w:r>
      <w:proofErr w:type="spellEnd"/>
      <w:r w:rsidRPr="00C855A5">
        <w:rPr>
          <w:sz w:val="28"/>
        </w:rPr>
        <w:t xml:space="preserve"> и </w:t>
      </w:r>
      <w:proofErr w:type="spellStart"/>
      <w:r w:rsidRPr="00C855A5">
        <w:rPr>
          <w:sz w:val="28"/>
        </w:rPr>
        <w:t>подтаёжно</w:t>
      </w:r>
      <w:proofErr w:type="spellEnd"/>
      <w:r w:rsidRPr="00C855A5">
        <w:rPr>
          <w:sz w:val="28"/>
        </w:rPr>
        <w:t>-таёжной зон Прибайкалья / Я.</w:t>
      </w:r>
      <w:r>
        <w:rPr>
          <w:sz w:val="28"/>
        </w:rPr>
        <w:t xml:space="preserve"> </w:t>
      </w:r>
      <w:r w:rsidRPr="00C855A5">
        <w:rPr>
          <w:sz w:val="28"/>
        </w:rPr>
        <w:t>С. Ермаченко, О.</w:t>
      </w:r>
      <w:r>
        <w:rPr>
          <w:sz w:val="28"/>
        </w:rPr>
        <w:t xml:space="preserve"> </w:t>
      </w:r>
      <w:r w:rsidRPr="00C855A5">
        <w:rPr>
          <w:sz w:val="28"/>
        </w:rPr>
        <w:t>Г. Попова, Р.</w:t>
      </w:r>
      <w:r>
        <w:rPr>
          <w:sz w:val="28"/>
        </w:rPr>
        <w:t xml:space="preserve"> </w:t>
      </w:r>
      <w:r w:rsidRPr="00C855A5">
        <w:rPr>
          <w:sz w:val="28"/>
        </w:rPr>
        <w:t xml:space="preserve">А. </w:t>
      </w:r>
      <w:proofErr w:type="spellStart"/>
      <w:r w:rsidRPr="00C855A5">
        <w:rPr>
          <w:sz w:val="28"/>
        </w:rPr>
        <w:t>Сагирова</w:t>
      </w:r>
      <w:proofErr w:type="spellEnd"/>
      <w:r w:rsidRPr="00C855A5">
        <w:rPr>
          <w:sz w:val="28"/>
        </w:rPr>
        <w:t xml:space="preserve"> // </w:t>
      </w:r>
      <w:proofErr w:type="spellStart"/>
      <w:r w:rsidRPr="00C855A5">
        <w:rPr>
          <w:sz w:val="28"/>
        </w:rPr>
        <w:t>Вестн</w:t>
      </w:r>
      <w:proofErr w:type="spellEnd"/>
      <w:r w:rsidR="00567E8A">
        <w:rPr>
          <w:sz w:val="28"/>
        </w:rPr>
        <w:t>.</w:t>
      </w:r>
      <w:r w:rsidRPr="00C855A5">
        <w:rPr>
          <w:sz w:val="28"/>
        </w:rPr>
        <w:t xml:space="preserve"> ИРГСХА. – 2017. – № 80. – С. 11-16.</w:t>
      </w:r>
    </w:p>
    <w:p w:rsidR="00C855A5" w:rsidRDefault="00C855A5" w:rsidP="00C855A5">
      <w:pPr>
        <w:pStyle w:val="a3"/>
        <w:ind w:firstLine="709"/>
        <w:jc w:val="both"/>
      </w:pPr>
      <w:r w:rsidRPr="00C855A5">
        <w:t xml:space="preserve">В статье приводятся исследования по интродукции парковых видов роз: морщинистой </w:t>
      </w:r>
      <w:proofErr w:type="gramStart"/>
      <w:r w:rsidRPr="00C855A5">
        <w:t xml:space="preserve">( </w:t>
      </w:r>
      <w:proofErr w:type="spellStart"/>
      <w:proofErr w:type="gramEnd"/>
      <w:r w:rsidRPr="00C855A5">
        <w:t>Rosa</w:t>
      </w:r>
      <w:proofErr w:type="spellEnd"/>
      <w:r w:rsidRPr="00C855A5">
        <w:t xml:space="preserve"> </w:t>
      </w:r>
      <w:proofErr w:type="spellStart"/>
      <w:r w:rsidRPr="00C855A5">
        <w:t>rugosa</w:t>
      </w:r>
      <w:proofErr w:type="spellEnd"/>
      <w:r w:rsidRPr="00C855A5">
        <w:t xml:space="preserve"> </w:t>
      </w:r>
      <w:proofErr w:type="spellStart"/>
      <w:r w:rsidRPr="00C855A5">
        <w:t>Thunb</w:t>
      </w:r>
      <w:proofErr w:type="spellEnd"/>
      <w:r w:rsidRPr="00C855A5">
        <w:t xml:space="preserve">. ), собачей ( </w:t>
      </w:r>
      <w:proofErr w:type="spellStart"/>
      <w:r w:rsidRPr="00C855A5">
        <w:t>Rosa</w:t>
      </w:r>
      <w:proofErr w:type="spellEnd"/>
      <w:r w:rsidRPr="00C855A5">
        <w:t xml:space="preserve"> </w:t>
      </w:r>
      <w:proofErr w:type="spellStart"/>
      <w:r w:rsidRPr="00C855A5">
        <w:t>canina</w:t>
      </w:r>
      <w:proofErr w:type="spellEnd"/>
      <w:r w:rsidRPr="00C855A5">
        <w:t xml:space="preserve"> L.), сизой ( </w:t>
      </w:r>
      <w:proofErr w:type="spellStart"/>
      <w:r w:rsidRPr="00C855A5">
        <w:t>Rosa</w:t>
      </w:r>
      <w:proofErr w:type="spellEnd"/>
      <w:r w:rsidRPr="00C855A5">
        <w:t xml:space="preserve"> </w:t>
      </w:r>
      <w:proofErr w:type="spellStart"/>
      <w:r w:rsidRPr="00C855A5">
        <w:t>glauca</w:t>
      </w:r>
      <w:proofErr w:type="spellEnd"/>
      <w:r w:rsidRPr="00C855A5">
        <w:t xml:space="preserve"> </w:t>
      </w:r>
      <w:proofErr w:type="spellStart"/>
      <w:r w:rsidRPr="00C855A5">
        <w:t>Pouir</w:t>
      </w:r>
      <w:proofErr w:type="spellEnd"/>
      <w:r w:rsidRPr="00C855A5">
        <w:t xml:space="preserve">.), </w:t>
      </w:r>
      <w:proofErr w:type="spellStart"/>
      <w:r w:rsidRPr="00C855A5">
        <w:t>колючейшей</w:t>
      </w:r>
      <w:proofErr w:type="spellEnd"/>
      <w:r w:rsidRPr="00C855A5">
        <w:t xml:space="preserve"> ( </w:t>
      </w:r>
      <w:proofErr w:type="spellStart"/>
      <w:r w:rsidRPr="00C855A5">
        <w:t>Rosa</w:t>
      </w:r>
      <w:proofErr w:type="spellEnd"/>
      <w:r w:rsidRPr="00C855A5">
        <w:t xml:space="preserve"> </w:t>
      </w:r>
      <w:proofErr w:type="spellStart"/>
      <w:r w:rsidRPr="00C855A5">
        <w:t>spinosissima</w:t>
      </w:r>
      <w:proofErr w:type="spellEnd"/>
      <w:r w:rsidRPr="00C855A5">
        <w:t xml:space="preserve"> </w:t>
      </w:r>
      <w:proofErr w:type="spellStart"/>
      <w:r w:rsidRPr="00C855A5">
        <w:t>Plena</w:t>
      </w:r>
      <w:proofErr w:type="spellEnd"/>
      <w:r w:rsidRPr="00C855A5">
        <w:t xml:space="preserve">) в условиях </w:t>
      </w:r>
      <w:proofErr w:type="spellStart"/>
      <w:r w:rsidRPr="00C855A5">
        <w:t>остепненной</w:t>
      </w:r>
      <w:proofErr w:type="spellEnd"/>
      <w:r w:rsidRPr="00C855A5">
        <w:t xml:space="preserve"> и </w:t>
      </w:r>
      <w:proofErr w:type="spellStart"/>
      <w:r w:rsidRPr="00C855A5">
        <w:t>подтаёжно</w:t>
      </w:r>
      <w:proofErr w:type="spellEnd"/>
      <w:r w:rsidRPr="00C855A5">
        <w:t xml:space="preserve">-таёжной почвенно-климатических зон </w:t>
      </w:r>
      <w:proofErr w:type="spellStart"/>
      <w:r w:rsidRPr="00C855A5">
        <w:t>Предбайкалья</w:t>
      </w:r>
      <w:proofErr w:type="spellEnd"/>
      <w:r w:rsidRPr="00C855A5">
        <w:t xml:space="preserve">. Дана характеристика исследуемых видов: морфологическое описание строения куста; </w:t>
      </w:r>
      <w:proofErr w:type="spellStart"/>
      <w:r w:rsidRPr="00C855A5">
        <w:t>побегообразовательная</w:t>
      </w:r>
      <w:proofErr w:type="spellEnd"/>
      <w:r w:rsidRPr="00C855A5">
        <w:t xml:space="preserve"> способность; особенности форм и цвет листьев, их размеры; формы, диаметр и цвет цветков, оценка их зимостойкости и морозостойкости в условиях резко континентального климата </w:t>
      </w:r>
      <w:proofErr w:type="spellStart"/>
      <w:r w:rsidRPr="00C855A5">
        <w:t>Предбайкалья</w:t>
      </w:r>
      <w:proofErr w:type="spellEnd"/>
      <w:r w:rsidRPr="00C855A5">
        <w:t xml:space="preserve">. Раскрываются особенности роста и развития: начало распускания почек, наступление </w:t>
      </w:r>
      <w:proofErr w:type="spellStart"/>
      <w:r w:rsidRPr="00C855A5">
        <w:t>бутонизации</w:t>
      </w:r>
      <w:proofErr w:type="spellEnd"/>
      <w:r w:rsidRPr="00C855A5">
        <w:t>, цветения, плодоношения. Рекомендованы виды роз для озеленения сел и городов.</w:t>
      </w:r>
    </w:p>
    <w:p w:rsidR="00C855A5" w:rsidRDefault="00C855A5" w:rsidP="00C855A5">
      <w:pPr>
        <w:pStyle w:val="a3"/>
        <w:ind w:firstLine="709"/>
        <w:jc w:val="both"/>
      </w:pPr>
    </w:p>
    <w:p w:rsidR="00253227" w:rsidRDefault="00253227" w:rsidP="00253227">
      <w:pPr>
        <w:pStyle w:val="a3"/>
        <w:ind w:firstLine="709"/>
        <w:jc w:val="both"/>
        <w:rPr>
          <w:sz w:val="28"/>
        </w:rPr>
      </w:pPr>
      <w:r w:rsidRPr="00253227">
        <w:rPr>
          <w:b/>
          <w:sz w:val="28"/>
        </w:rPr>
        <w:t>Захаров, В.</w:t>
      </w:r>
      <w:r w:rsidRPr="00253227">
        <w:rPr>
          <w:b/>
          <w:sz w:val="28"/>
        </w:rPr>
        <w:t xml:space="preserve"> </w:t>
      </w:r>
      <w:r w:rsidRPr="00253227">
        <w:rPr>
          <w:b/>
          <w:sz w:val="28"/>
        </w:rPr>
        <w:t>Л.</w:t>
      </w:r>
      <w:r w:rsidRPr="00253227">
        <w:rPr>
          <w:sz w:val="28"/>
        </w:rPr>
        <w:t xml:space="preserve"> </w:t>
      </w:r>
      <w:r w:rsidRPr="00253227">
        <w:rPr>
          <w:sz w:val="28"/>
        </w:rPr>
        <w:t>Эффективность повторной выгонки луковиц тюльпанов на цветы</w:t>
      </w:r>
      <w:r>
        <w:rPr>
          <w:sz w:val="28"/>
        </w:rPr>
        <w:t xml:space="preserve"> / </w:t>
      </w:r>
      <w:r w:rsidRPr="00253227">
        <w:rPr>
          <w:sz w:val="28"/>
        </w:rPr>
        <w:t>В.</w:t>
      </w:r>
      <w:r>
        <w:rPr>
          <w:sz w:val="28"/>
        </w:rPr>
        <w:t xml:space="preserve"> </w:t>
      </w:r>
      <w:r w:rsidRPr="00253227">
        <w:rPr>
          <w:sz w:val="28"/>
        </w:rPr>
        <w:t>Л.</w:t>
      </w:r>
      <w:r>
        <w:rPr>
          <w:sz w:val="28"/>
        </w:rPr>
        <w:t xml:space="preserve"> </w:t>
      </w:r>
      <w:r w:rsidRPr="00253227">
        <w:rPr>
          <w:sz w:val="28"/>
        </w:rPr>
        <w:t xml:space="preserve">Захаров, </w:t>
      </w:r>
      <w:r w:rsidRPr="00253227">
        <w:rPr>
          <w:sz w:val="28"/>
        </w:rPr>
        <w:t>И.</w:t>
      </w:r>
      <w:r>
        <w:rPr>
          <w:sz w:val="28"/>
        </w:rPr>
        <w:t xml:space="preserve"> </w:t>
      </w:r>
      <w:r w:rsidRPr="00253227">
        <w:rPr>
          <w:sz w:val="28"/>
        </w:rPr>
        <w:t>А.</w:t>
      </w:r>
      <w:r>
        <w:rPr>
          <w:sz w:val="28"/>
        </w:rPr>
        <w:t xml:space="preserve"> </w:t>
      </w:r>
      <w:proofErr w:type="spellStart"/>
      <w:r w:rsidRPr="00253227">
        <w:rPr>
          <w:sz w:val="28"/>
        </w:rPr>
        <w:t>Карасёва</w:t>
      </w:r>
      <w:proofErr w:type="spellEnd"/>
      <w:r>
        <w:rPr>
          <w:sz w:val="28"/>
        </w:rPr>
        <w:t xml:space="preserve"> // </w:t>
      </w:r>
      <w:r w:rsidRPr="00253227">
        <w:rPr>
          <w:sz w:val="28"/>
        </w:rPr>
        <w:t xml:space="preserve">Агропромышленные технологии Центральной России. </w:t>
      </w:r>
      <w:r>
        <w:rPr>
          <w:sz w:val="28"/>
        </w:rPr>
        <w:t xml:space="preserve">– </w:t>
      </w:r>
      <w:r w:rsidRPr="00253227">
        <w:rPr>
          <w:sz w:val="28"/>
        </w:rPr>
        <w:t xml:space="preserve">2017. </w:t>
      </w:r>
      <w:r>
        <w:rPr>
          <w:sz w:val="28"/>
        </w:rPr>
        <w:t xml:space="preserve">– </w:t>
      </w:r>
      <w:r w:rsidRPr="00253227">
        <w:rPr>
          <w:sz w:val="28"/>
        </w:rPr>
        <w:t>№</w:t>
      </w:r>
      <w:r>
        <w:rPr>
          <w:sz w:val="28"/>
        </w:rPr>
        <w:t xml:space="preserve"> </w:t>
      </w:r>
      <w:r w:rsidRPr="00253227">
        <w:rPr>
          <w:sz w:val="28"/>
        </w:rPr>
        <w:t xml:space="preserve">3(5). </w:t>
      </w:r>
      <w:r>
        <w:rPr>
          <w:sz w:val="28"/>
        </w:rPr>
        <w:t xml:space="preserve">– </w:t>
      </w:r>
      <w:r w:rsidRPr="00253227">
        <w:rPr>
          <w:sz w:val="28"/>
        </w:rPr>
        <w:t xml:space="preserve">С. 40-43. </w:t>
      </w:r>
    </w:p>
    <w:p w:rsidR="00253227" w:rsidRPr="00253227" w:rsidRDefault="00253227" w:rsidP="00253227">
      <w:pPr>
        <w:pStyle w:val="a3"/>
        <w:ind w:firstLine="709"/>
        <w:jc w:val="both"/>
      </w:pPr>
      <w:r w:rsidRPr="00253227">
        <w:t>Целью исследований была проверка эффективности повторной выгонки луковиц тюльпанов для получения их цветов к календарной дате 8 марта. Луковицы после первой выгонки просушивали, выдерживали в состоянии покоя, удобряли минеральными удобрениями, а затем повторно проращивали в защищённом грунте, немного изменив время высадки. Несмотря на период покоя и подкормку минеральными удобрениями, масса луковиц тюльпанов ко времени вторичной выгонки на цветы</w:t>
      </w:r>
      <w:r w:rsidR="003D46C5">
        <w:t xml:space="preserve"> </w:t>
      </w:r>
      <w:bookmarkStart w:id="0" w:name="_GoBack"/>
      <w:bookmarkEnd w:id="0"/>
      <w:r w:rsidRPr="00253227">
        <w:t xml:space="preserve">была в 3-4 раза меньше, чем </w:t>
      </w:r>
      <w:proofErr w:type="gramStart"/>
      <w:r w:rsidRPr="00253227">
        <w:t>при</w:t>
      </w:r>
      <w:proofErr w:type="gramEnd"/>
      <w:r w:rsidRPr="00253227">
        <w:t xml:space="preserve"> первичной. При первой выгонке высота цветущих растений составляла 20-50 см, а при второй - не более 15 см. При вторичной выгонке луковиц тюльпанов лишь у 22% растений формируются цветковые бутоны, и только у 10% растений они раскрываются полностью. Эффективность вторичной выгонки луковиц тюльпанов для получения цветов в 8 раз ниже, чем первичной. </w:t>
      </w:r>
    </w:p>
    <w:p w:rsidR="00253227" w:rsidRPr="00253227" w:rsidRDefault="00253227" w:rsidP="00253227">
      <w:pPr>
        <w:pStyle w:val="a3"/>
        <w:ind w:firstLine="709"/>
        <w:jc w:val="both"/>
        <w:rPr>
          <w:sz w:val="28"/>
        </w:rPr>
      </w:pPr>
    </w:p>
    <w:p w:rsidR="00C10681" w:rsidRDefault="00C10681" w:rsidP="00C10681">
      <w:pPr>
        <w:pStyle w:val="a3"/>
        <w:ind w:firstLine="709"/>
        <w:jc w:val="both"/>
        <w:rPr>
          <w:sz w:val="28"/>
        </w:rPr>
      </w:pPr>
      <w:r w:rsidRPr="00C10681">
        <w:rPr>
          <w:b/>
          <w:sz w:val="28"/>
        </w:rPr>
        <w:t>Кожевников, В. И.</w:t>
      </w:r>
      <w:r w:rsidRPr="00C10681">
        <w:rPr>
          <w:sz w:val="28"/>
        </w:rPr>
        <w:t xml:space="preserve"> Возможности увеличения ассортимента астры однолетней при облучении источниками ионизирующего излучения 60СО / В.</w:t>
      </w:r>
      <w:r>
        <w:rPr>
          <w:sz w:val="28"/>
        </w:rPr>
        <w:t xml:space="preserve"> </w:t>
      </w:r>
      <w:r w:rsidRPr="00C10681">
        <w:rPr>
          <w:sz w:val="28"/>
        </w:rPr>
        <w:t>И.</w:t>
      </w:r>
      <w:r>
        <w:rPr>
          <w:sz w:val="28"/>
        </w:rPr>
        <w:t xml:space="preserve"> </w:t>
      </w:r>
      <w:r w:rsidRPr="00C10681">
        <w:rPr>
          <w:sz w:val="28"/>
        </w:rPr>
        <w:t>Кожевников, А.</w:t>
      </w:r>
      <w:r>
        <w:rPr>
          <w:sz w:val="28"/>
        </w:rPr>
        <w:t xml:space="preserve"> </w:t>
      </w:r>
      <w:r w:rsidRPr="00C10681">
        <w:rPr>
          <w:sz w:val="28"/>
        </w:rPr>
        <w:t>В.</w:t>
      </w:r>
      <w:r>
        <w:rPr>
          <w:sz w:val="28"/>
        </w:rPr>
        <w:t xml:space="preserve"> </w:t>
      </w:r>
      <w:r w:rsidRPr="00C10681">
        <w:rPr>
          <w:sz w:val="28"/>
        </w:rPr>
        <w:t>Кожевников, А.</w:t>
      </w:r>
      <w:r>
        <w:rPr>
          <w:sz w:val="28"/>
        </w:rPr>
        <w:t xml:space="preserve"> </w:t>
      </w:r>
      <w:r w:rsidRPr="00C10681">
        <w:rPr>
          <w:sz w:val="28"/>
        </w:rPr>
        <w:t xml:space="preserve">Н. Павлов // </w:t>
      </w:r>
      <w:proofErr w:type="spellStart"/>
      <w:r w:rsidRPr="00C10681">
        <w:rPr>
          <w:sz w:val="28"/>
        </w:rPr>
        <w:t>Вестн</w:t>
      </w:r>
      <w:proofErr w:type="spellEnd"/>
      <w:r w:rsidR="00567E8A">
        <w:rPr>
          <w:sz w:val="28"/>
        </w:rPr>
        <w:t>.</w:t>
      </w:r>
      <w:r w:rsidRPr="00C10681">
        <w:rPr>
          <w:sz w:val="28"/>
        </w:rPr>
        <w:t xml:space="preserve"> АПК Ставрополья. – 2017. – № 3. – С. 38-42</w:t>
      </w:r>
      <w:r>
        <w:rPr>
          <w:sz w:val="28"/>
        </w:rPr>
        <w:t>.</w:t>
      </w:r>
    </w:p>
    <w:p w:rsidR="00C10681" w:rsidRPr="00C10681" w:rsidRDefault="00C10681" w:rsidP="00C10681">
      <w:pPr>
        <w:pStyle w:val="a3"/>
        <w:ind w:firstLine="709"/>
        <w:jc w:val="both"/>
      </w:pPr>
    </w:p>
    <w:p w:rsidR="00C855A5" w:rsidRPr="00C855A5" w:rsidRDefault="00C855A5" w:rsidP="00C855A5">
      <w:pPr>
        <w:pStyle w:val="a3"/>
        <w:ind w:firstLine="709"/>
        <w:jc w:val="both"/>
        <w:rPr>
          <w:sz w:val="28"/>
        </w:rPr>
      </w:pPr>
      <w:r w:rsidRPr="00C855A5">
        <w:rPr>
          <w:b/>
          <w:sz w:val="28"/>
        </w:rPr>
        <w:t>Чернигова, Е. Н.</w:t>
      </w:r>
      <w:r w:rsidRPr="00C855A5">
        <w:rPr>
          <w:sz w:val="28"/>
        </w:rPr>
        <w:t xml:space="preserve"> Оценка конкурентоспособности </w:t>
      </w:r>
      <w:proofErr w:type="spellStart"/>
      <w:r w:rsidRPr="00C855A5">
        <w:rPr>
          <w:sz w:val="28"/>
        </w:rPr>
        <w:t>реинтродуцентов</w:t>
      </w:r>
      <w:proofErr w:type="spellEnd"/>
      <w:r w:rsidRPr="00C855A5">
        <w:rPr>
          <w:sz w:val="28"/>
        </w:rPr>
        <w:t xml:space="preserve"> в декоративно-цветущих ландшафтных композициях Прибайкалья / Е.</w:t>
      </w:r>
      <w:r>
        <w:rPr>
          <w:sz w:val="28"/>
        </w:rPr>
        <w:t xml:space="preserve"> </w:t>
      </w:r>
      <w:r w:rsidRPr="00C855A5">
        <w:rPr>
          <w:sz w:val="28"/>
        </w:rPr>
        <w:t>Н.</w:t>
      </w:r>
      <w:r>
        <w:rPr>
          <w:sz w:val="28"/>
        </w:rPr>
        <w:t xml:space="preserve"> </w:t>
      </w:r>
      <w:r w:rsidRPr="00C855A5">
        <w:rPr>
          <w:sz w:val="28"/>
        </w:rPr>
        <w:lastRenderedPageBreak/>
        <w:t>Чернигова, И.</w:t>
      </w:r>
      <w:r>
        <w:rPr>
          <w:sz w:val="28"/>
        </w:rPr>
        <w:t xml:space="preserve"> </w:t>
      </w:r>
      <w:r w:rsidRPr="00C855A5">
        <w:rPr>
          <w:sz w:val="28"/>
        </w:rPr>
        <w:t>И.</w:t>
      </w:r>
      <w:r>
        <w:rPr>
          <w:sz w:val="28"/>
        </w:rPr>
        <w:t xml:space="preserve"> </w:t>
      </w:r>
      <w:proofErr w:type="spellStart"/>
      <w:r w:rsidRPr="00C855A5">
        <w:rPr>
          <w:sz w:val="28"/>
        </w:rPr>
        <w:t>Шеметов</w:t>
      </w:r>
      <w:proofErr w:type="spellEnd"/>
      <w:r w:rsidRPr="00C855A5">
        <w:rPr>
          <w:sz w:val="28"/>
        </w:rPr>
        <w:t>, И.</w:t>
      </w:r>
      <w:r>
        <w:rPr>
          <w:sz w:val="28"/>
        </w:rPr>
        <w:t xml:space="preserve"> </w:t>
      </w:r>
      <w:r w:rsidRPr="00C855A5">
        <w:rPr>
          <w:sz w:val="28"/>
        </w:rPr>
        <w:t xml:space="preserve">С. </w:t>
      </w:r>
      <w:proofErr w:type="spellStart"/>
      <w:r w:rsidRPr="00C855A5">
        <w:rPr>
          <w:sz w:val="28"/>
        </w:rPr>
        <w:t>Шеметова</w:t>
      </w:r>
      <w:proofErr w:type="spellEnd"/>
      <w:r w:rsidRPr="00C855A5">
        <w:rPr>
          <w:sz w:val="28"/>
        </w:rPr>
        <w:t xml:space="preserve"> // </w:t>
      </w:r>
      <w:proofErr w:type="spellStart"/>
      <w:r w:rsidRPr="00C855A5">
        <w:rPr>
          <w:sz w:val="28"/>
        </w:rPr>
        <w:t>Вестн</w:t>
      </w:r>
      <w:proofErr w:type="spellEnd"/>
      <w:r w:rsidR="00567E8A">
        <w:rPr>
          <w:sz w:val="28"/>
        </w:rPr>
        <w:t>.</w:t>
      </w:r>
      <w:r w:rsidRPr="00C855A5">
        <w:rPr>
          <w:sz w:val="28"/>
        </w:rPr>
        <w:t xml:space="preserve"> ИРГСХА. – 2017. – № 81-2. – С. 32-37.</w:t>
      </w:r>
    </w:p>
    <w:p w:rsidR="00C855A5" w:rsidRPr="00C855A5" w:rsidRDefault="00C855A5" w:rsidP="00C855A5">
      <w:pPr>
        <w:pStyle w:val="a3"/>
        <w:ind w:firstLine="709"/>
        <w:jc w:val="both"/>
      </w:pPr>
      <w:r w:rsidRPr="00C855A5">
        <w:t xml:space="preserve">В статье приведены результаты по изучению конкурентной способности </w:t>
      </w:r>
      <w:proofErr w:type="spellStart"/>
      <w:r w:rsidRPr="00C855A5">
        <w:t>интодуцируемых</w:t>
      </w:r>
      <w:proofErr w:type="spellEnd"/>
      <w:r w:rsidRPr="00C855A5">
        <w:t xml:space="preserve"> растений на территории Ботанического сада Иркутского ГАУ. Выявлены биологические особенности дикорастущих растений </w:t>
      </w:r>
      <w:proofErr w:type="spellStart"/>
      <w:r w:rsidRPr="00C855A5">
        <w:t>Предбайкалья</w:t>
      </w:r>
      <w:proofErr w:type="spellEnd"/>
      <w:r w:rsidRPr="00C855A5">
        <w:t xml:space="preserve">, которые могут быть основой создания устойчивых ландшафтных композиций, по своим эколого-биологическим свойствам наиболее приспособлены к абиотическим и эдафическим условиям региона. Было выделено 13 видов декоративно-цветущих травянистых растений для озеленения </w:t>
      </w:r>
      <w:proofErr w:type="spellStart"/>
      <w:r w:rsidRPr="00C855A5">
        <w:t>Предбайкалья</w:t>
      </w:r>
      <w:proofErr w:type="spellEnd"/>
      <w:r w:rsidRPr="00C855A5">
        <w:t xml:space="preserve">, обладающих высокой конкурентоспособностью, устойчивостью к неблагоприятным местным абиотическим условиям и способных к </w:t>
      </w:r>
      <w:proofErr w:type="gramStart"/>
      <w:r w:rsidRPr="00C855A5">
        <w:t>активному</w:t>
      </w:r>
      <w:proofErr w:type="gramEnd"/>
      <w:r w:rsidRPr="00C855A5">
        <w:t xml:space="preserve"> </w:t>
      </w:r>
      <w:proofErr w:type="spellStart"/>
      <w:r w:rsidRPr="00C855A5">
        <w:t>саморасселению</w:t>
      </w:r>
      <w:proofErr w:type="spellEnd"/>
      <w:r w:rsidRPr="00C855A5">
        <w:t xml:space="preserve">. </w:t>
      </w:r>
    </w:p>
    <w:p w:rsidR="00C855A5" w:rsidRDefault="00C855A5" w:rsidP="00C855A5">
      <w:pPr>
        <w:pStyle w:val="a3"/>
        <w:ind w:firstLine="709"/>
        <w:jc w:val="both"/>
      </w:pPr>
    </w:p>
    <w:p w:rsidR="00196962" w:rsidRPr="00232B32" w:rsidRDefault="00C855A5" w:rsidP="00C855A5">
      <w:pPr>
        <w:pStyle w:val="a3"/>
        <w:ind w:firstLine="709"/>
        <w:jc w:val="both"/>
        <w:rPr>
          <w:sz w:val="28"/>
        </w:rPr>
      </w:pPr>
      <w:r w:rsidRPr="00232B32">
        <w:rPr>
          <w:sz w:val="28"/>
        </w:rPr>
        <w:t>Составитель: Л. М. Бабанина</w:t>
      </w:r>
    </w:p>
    <w:sectPr w:rsidR="00196962" w:rsidRPr="002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elibrary.ru/pic/1pix.gif" style="width:.55pt;height:.55pt;visibility:visible;mso-wrap-style:square" o:bullet="t">
        <v:imagedata r:id="rId1" o:title="1pix"/>
      </v:shape>
    </w:pict>
  </w:numPicBullet>
  <w:abstractNum w:abstractNumId="0">
    <w:nsid w:val="516C5840"/>
    <w:multiLevelType w:val="hybridMultilevel"/>
    <w:tmpl w:val="8AC414E4"/>
    <w:lvl w:ilvl="0" w:tplc="BC7A4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4D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E6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29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2B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EE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86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3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E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3"/>
    <w:rsid w:val="00034C64"/>
    <w:rsid w:val="000E70C2"/>
    <w:rsid w:val="001C4191"/>
    <w:rsid w:val="00232B32"/>
    <w:rsid w:val="00253227"/>
    <w:rsid w:val="002F0A9A"/>
    <w:rsid w:val="00361D2D"/>
    <w:rsid w:val="003D46C5"/>
    <w:rsid w:val="00412678"/>
    <w:rsid w:val="004301B3"/>
    <w:rsid w:val="00475125"/>
    <w:rsid w:val="004B37E8"/>
    <w:rsid w:val="00500FDB"/>
    <w:rsid w:val="00567E8A"/>
    <w:rsid w:val="00646E41"/>
    <w:rsid w:val="007F4B29"/>
    <w:rsid w:val="00802C12"/>
    <w:rsid w:val="00C10681"/>
    <w:rsid w:val="00C855A5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4"/>
    <w:rPr>
      <w:lang w:eastAsia="ru-RU"/>
    </w:rPr>
  </w:style>
  <w:style w:type="paragraph" w:styleId="1">
    <w:name w:val="heading 1"/>
    <w:basedOn w:val="a"/>
    <w:link w:val="10"/>
    <w:uiPriority w:val="9"/>
    <w:qFormat/>
    <w:rsid w:val="00034C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61D2D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361D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2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E70C2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table" w:customStyle="1" w:styleId="11">
    <w:name w:val="Сетка таблицы1"/>
    <w:basedOn w:val="a1"/>
    <w:next w:val="a8"/>
    <w:uiPriority w:val="59"/>
    <w:rsid w:val="00567E8A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4"/>
    <w:rPr>
      <w:lang w:eastAsia="ru-RU"/>
    </w:rPr>
  </w:style>
  <w:style w:type="paragraph" w:styleId="1">
    <w:name w:val="heading 1"/>
    <w:basedOn w:val="a"/>
    <w:link w:val="10"/>
    <w:uiPriority w:val="9"/>
    <w:qFormat/>
    <w:rsid w:val="00034C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61D2D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361D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2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E70C2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table" w:customStyle="1" w:styleId="11">
    <w:name w:val="Сетка таблицы1"/>
    <w:basedOn w:val="a1"/>
    <w:next w:val="a8"/>
    <w:uiPriority w:val="59"/>
    <w:rsid w:val="00567E8A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3113</Characters>
  <Application>Microsoft Office Word</Application>
  <DocSecurity>0</DocSecurity>
  <Lines>25</Lines>
  <Paragraphs>7</Paragraphs>
  <ScaleCrop>false</ScaleCrop>
  <Company>rg-adguard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Дежурный</cp:lastModifiedBy>
  <cp:revision>16</cp:revision>
  <dcterms:created xsi:type="dcterms:W3CDTF">2017-12-03T01:30:00Z</dcterms:created>
  <dcterms:modified xsi:type="dcterms:W3CDTF">2018-01-13T05:23:00Z</dcterms:modified>
</cp:coreProperties>
</file>